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" w:firstLineChars="50"/>
        <w:rPr>
          <w:rFonts w:hint="default" w:eastAsia="宋体"/>
          <w:highlight w:val="none"/>
          <w:lang w:val="en-US" w:eastAsia="zh-CN"/>
        </w:rPr>
      </w:pPr>
      <w:r>
        <w:rPr>
          <w:highlight w:val="none"/>
        </w:rPr>
        <w:t>证券代码：000875            证券简称：吉电股份              公告编号：202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-</w:t>
      </w:r>
      <w:r>
        <w:rPr>
          <w:rFonts w:hint="eastAsia"/>
          <w:highlight w:val="none"/>
          <w:lang w:val="en-US" w:eastAsia="zh-CN"/>
        </w:rPr>
        <w:t>080</w:t>
      </w:r>
    </w:p>
    <w:p>
      <w:pPr>
        <w:rPr>
          <w:b/>
          <w:sz w:val="44"/>
          <w:szCs w:val="44"/>
          <w:highlight w:val="none"/>
        </w:rPr>
      </w:pPr>
      <w:r>
        <w:rPr>
          <w:color w:val="FF660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25400</wp:posOffset>
                </wp:positionV>
                <wp:extent cx="5417820" cy="22860"/>
                <wp:effectExtent l="0" t="28575" r="7620" b="4000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7820" cy="2286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5.25pt;margin-top:2pt;height:1.8pt;width:426.6pt;z-index:251659264;mso-width-relative:page;mso-height-relative:page;" filled="f" stroked="t" coordsize="21600,21600" o:gfxdata="UEsDBAoAAAAAAIdO4kAAAAAAAAAAAAAAAAAEAAAAZHJzL1BLAwQUAAAACACHTuJAi5vAuNMAAAAG&#10;AQAADwAAAGRycy9kb3ducmV2LnhtbE2PMU/DMBSEdyT+g/WQ2KidAGkV4nRAYmBBEJBY3fg1iRo/&#10;W7GTpv+exwTj6U5331X71Y1iwSkOnjRkGwUCqfV2oE7D1+fL3Q5ETIasGT2hhgtG2NfXV5UprT/T&#10;By5N6gSXUCyNhj6lUEoZ2x6diRsfkNg7+smZxHLqpJ3MmcvdKHOlCunMQLzQm4DPPbanZnYamlWF&#10;IMe3k5uz7zy8Lpf8/dhofXuTqScQCdf0F4ZffEaHmpkOfiYbxchaPXJSwwM/YntX3G9BHDRsC5B1&#10;Jf/j1z9QSwMEFAAAAAgAh07iQFNFbSf4AQAA8AMAAA4AAABkcnMvZTJvRG9jLnhtbK1TS44TMRDd&#10;I3EHy3vS6RaTiVrpzGJC2CCIxAz7ij9pC/9kO+nkLFyDFRuOM9eg7M4EGDZZsLHKVeVX9V6VF3dH&#10;o8lBhKic7Wg9mVIiLHNc2V1HHx/Wb+aUxASWg3ZWdPQkIr1bvn61GHwrGtc7zUUgCGJjO/iO9in5&#10;tqoi64WBOHFeWAxKFwwkvIZdxQMMiG501Uyns2pwgfvgmIgRvasxSM+I4RpAJ6ViYuXY3gibRtQg&#10;NCSkFHvlI12WbqUULH2SMopEdEeRaSonFkF7m89quYB2F8D3ip1bgGtaeMHJgLJY9AK1ggRkH9Q/&#10;UEax4KKTacKcqUYiRRFkUU9faPO5By8KF5Q6+ovo8f/Bso+HTSCK4yZQYsHgwJ++fX/68ZM0WZvB&#10;xxZT7u0mnG/Rb0ImepTBEKmV/5KfZg+SIcei7OmirDgmwtB587a+nTcoOsNY08xnRflqhMmPfYjp&#10;vXCGZKOjWtlMHFo4fIgJS2Pqc0p2a0sGRL2tbzIm4BpKHD+axiOV1Cv7gAP9WiCi04qvldb5YQy7&#10;7b0O5AC4EOv1bDZ97uSvtFxrBbEf80poXJVeAH9nOUknj1JZ/CE0d2IEp0QL/FDZKkuVQOlrMpGZ&#10;tkgwSz2Km62t4ycczN4HtetRkDqDlhxchCLHeWnzpv15L1m/P+r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ubwLjTAAAABgEAAA8AAAAAAAAAAQAgAAAAIgAAAGRycy9kb3ducmV2LnhtbFBLAQIU&#10;ABQAAAAIAIdO4kBTRW0n+AEAAPADAAAOAAAAAAAAAAEAIAAAACIBAABkcnMvZTJvRG9jLnhtbFBL&#10;BQYAAAAABgAGAFkBAACMBQAAAAA=&#10;">
                <v:fill on="f" focussize="0,0"/>
                <v:stroke weight="4.5pt" color="#FF66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  <w:kern w:val="0"/>
          <w:sz w:val="44"/>
          <w:szCs w:val="44"/>
          <w:highlight w:val="none"/>
        </w:rPr>
      </w:pPr>
      <w:r>
        <w:rPr>
          <w:b/>
          <w:kern w:val="0"/>
          <w:sz w:val="44"/>
          <w:szCs w:val="44"/>
          <w:highlight w:val="none"/>
        </w:rPr>
        <w:t>吉林电力股份有限公司</w:t>
      </w:r>
    </w:p>
    <w:p>
      <w:pPr>
        <w:jc w:val="center"/>
        <w:rPr>
          <w:b/>
          <w:kern w:val="0"/>
          <w:sz w:val="44"/>
          <w:szCs w:val="44"/>
          <w:highlight w:val="none"/>
        </w:rPr>
      </w:pPr>
      <w:r>
        <w:rPr>
          <w:b/>
          <w:kern w:val="0"/>
          <w:sz w:val="44"/>
          <w:szCs w:val="44"/>
          <w:highlight w:val="none"/>
        </w:rPr>
        <w:t>关于续聘202</w:t>
      </w:r>
      <w:r>
        <w:rPr>
          <w:rFonts w:hint="eastAsia"/>
          <w:b/>
          <w:kern w:val="0"/>
          <w:sz w:val="44"/>
          <w:szCs w:val="44"/>
          <w:highlight w:val="none"/>
          <w:lang w:val="en-US" w:eastAsia="zh-CN"/>
        </w:rPr>
        <w:t>3</w:t>
      </w:r>
      <w:r>
        <w:rPr>
          <w:b/>
          <w:kern w:val="0"/>
          <w:sz w:val="44"/>
          <w:szCs w:val="44"/>
          <w:highlight w:val="none"/>
        </w:rPr>
        <w:t>年度财务报告</w:t>
      </w:r>
      <w:r>
        <w:rPr>
          <w:rFonts w:hint="eastAsia"/>
          <w:b/>
          <w:kern w:val="0"/>
          <w:sz w:val="44"/>
          <w:szCs w:val="44"/>
          <w:highlight w:val="none"/>
        </w:rPr>
        <w:t>及</w:t>
      </w:r>
      <w:r>
        <w:rPr>
          <w:b/>
          <w:kern w:val="0"/>
          <w:sz w:val="44"/>
          <w:szCs w:val="44"/>
          <w:highlight w:val="none"/>
        </w:rPr>
        <w:t>内部控制</w:t>
      </w:r>
    </w:p>
    <w:p>
      <w:pPr>
        <w:jc w:val="center"/>
        <w:rPr>
          <w:rFonts w:eastAsia="黑体"/>
          <w:b/>
          <w:kern w:val="0"/>
          <w:sz w:val="44"/>
          <w:szCs w:val="44"/>
          <w:highlight w:val="none"/>
        </w:rPr>
      </w:pPr>
      <w:r>
        <w:rPr>
          <w:b/>
          <w:kern w:val="0"/>
          <w:sz w:val="44"/>
          <w:szCs w:val="44"/>
          <w:highlight w:val="none"/>
        </w:rPr>
        <w:t>审计</w:t>
      </w:r>
      <w:r>
        <w:rPr>
          <w:rFonts w:hint="eastAsia"/>
          <w:b/>
          <w:kern w:val="0"/>
          <w:sz w:val="44"/>
          <w:szCs w:val="44"/>
          <w:highlight w:val="none"/>
          <w:lang w:val="en-US" w:eastAsia="zh-CN"/>
        </w:rPr>
        <w:t>机构</w:t>
      </w:r>
      <w:r>
        <w:rPr>
          <w:b/>
          <w:kern w:val="0"/>
          <w:sz w:val="44"/>
          <w:szCs w:val="44"/>
          <w:highlight w:val="none"/>
        </w:rPr>
        <w:t>的公告</w:t>
      </w:r>
    </w:p>
    <w:p>
      <w:pPr>
        <w:ind w:firstLine="562" w:firstLineChars="200"/>
        <w:rPr>
          <w:rFonts w:eastAsia="仿宋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2" w:firstLineChars="200"/>
        <w:textAlignment w:val="auto"/>
        <w:rPr>
          <w:rFonts w:eastAsia="仿宋"/>
          <w:b/>
          <w:sz w:val="28"/>
          <w:szCs w:val="28"/>
          <w:highlight w:val="none"/>
        </w:rPr>
      </w:pPr>
      <w:r>
        <w:rPr>
          <w:rFonts w:eastAsia="仿宋"/>
          <w:b/>
          <w:sz w:val="28"/>
          <w:szCs w:val="28"/>
          <w:highlight w:val="none"/>
        </w:rPr>
        <w:t>本公司及董事会全体成员保证公告内容的真实、准确、完整，没有虚假记载、误导性陈述或重大遗漏。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eastAsia="华文仿宋" w:cs="Times New Roman"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  <w:r>
        <w:rPr>
          <w:rFonts w:ascii="Times New Roman" w:eastAsia="仿宋_GB2312" w:cs="Times New Roman"/>
          <w:sz w:val="28"/>
          <w:szCs w:val="28"/>
          <w:highlight w:val="none"/>
        </w:rPr>
        <w:t xml:space="preserve">    </w:t>
      </w:r>
      <w:r>
        <w:rPr>
          <w:rFonts w:ascii="Times New Roman" w:eastAsia="仿宋" w:cs="Times New Roman"/>
          <w:sz w:val="28"/>
          <w:szCs w:val="28"/>
          <w:highlight w:val="none"/>
        </w:rPr>
        <w:t>吉林电力股份有限公司（以下简称“公司”）于202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eastAsia="仿宋" w:cs="Times New Roman"/>
          <w:sz w:val="28"/>
          <w:szCs w:val="28"/>
          <w:highlight w:val="none"/>
        </w:rPr>
        <w:t>年1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2</w:t>
      </w:r>
      <w:r>
        <w:rPr>
          <w:rFonts w:asci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11</w:t>
      </w:r>
      <w:r>
        <w:rPr>
          <w:rFonts w:ascii="Times New Roman" w:eastAsia="仿宋" w:cs="Times New Roman"/>
          <w:sz w:val="28"/>
          <w:szCs w:val="28"/>
          <w:highlight w:val="none"/>
        </w:rPr>
        <w:t>日召开第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ascii="Times New Roman" w:eastAsia="仿宋" w:cs="Times New Roman"/>
          <w:sz w:val="28"/>
          <w:szCs w:val="28"/>
          <w:highlight w:val="none"/>
        </w:rPr>
        <w:t>届董事会第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十二</w:t>
      </w:r>
      <w:r>
        <w:rPr>
          <w:rFonts w:ascii="Times New Roman" w:eastAsia="仿宋" w:cs="Times New Roman"/>
          <w:sz w:val="28"/>
          <w:szCs w:val="28"/>
          <w:highlight w:val="none"/>
        </w:rPr>
        <w:t>次会议</w:t>
      </w:r>
      <w:r>
        <w:rPr>
          <w:rFonts w:hint="eastAsia" w:asci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ascii="Times New Roman" w:eastAsia="仿宋" w:cs="Times New Roman"/>
          <w:sz w:val="28"/>
          <w:szCs w:val="28"/>
          <w:highlight w:val="none"/>
        </w:rPr>
        <w:t>审议通过了《</w:t>
      </w:r>
      <w:r>
        <w:rPr>
          <w:rFonts w:hint="eastAsia" w:ascii="Times New Roman" w:eastAsia="仿宋" w:cs="Times New Roman"/>
          <w:sz w:val="28"/>
          <w:szCs w:val="28"/>
          <w:highlight w:val="none"/>
        </w:rPr>
        <w:t>关于续聘2023年度财务报告及内部控制审计机构的议案</w:t>
      </w:r>
      <w:r>
        <w:rPr>
          <w:rFonts w:ascii="Times New Roman" w:eastAsia="仿宋" w:cs="Times New Roman"/>
          <w:sz w:val="28"/>
          <w:szCs w:val="28"/>
          <w:highlight w:val="none"/>
        </w:rPr>
        <w:t>》，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同意</w:t>
      </w:r>
      <w:r>
        <w:rPr>
          <w:rFonts w:ascii="Times New Roman" w:eastAsia="仿宋" w:cs="Times New Roman"/>
          <w:sz w:val="28"/>
          <w:szCs w:val="28"/>
          <w:highlight w:val="none"/>
        </w:rPr>
        <w:t>续聘</w:t>
      </w:r>
      <w:r>
        <w:rPr>
          <w:rFonts w:hint="eastAsia" w:ascii="Times New Roman" w:hAnsi="仿宋" w:eastAsia="仿宋" w:cs="Times New Roman"/>
          <w:bCs/>
          <w:sz w:val="28"/>
          <w:szCs w:val="28"/>
          <w:highlight w:val="none"/>
        </w:rPr>
        <w:t>天健会计师事务所（特殊普通合伙）为202</w:t>
      </w:r>
      <w:r>
        <w:rPr>
          <w:rFonts w:hint="eastAsia" w:ascii="Times New Roman" w:hAnsi="仿宋" w:eastAsia="仿宋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仿宋" w:eastAsia="仿宋" w:cs="Times New Roman"/>
          <w:bCs/>
          <w:sz w:val="28"/>
          <w:szCs w:val="28"/>
          <w:highlight w:val="none"/>
        </w:rPr>
        <w:t>年度财务报告</w:t>
      </w:r>
      <w:r>
        <w:rPr>
          <w:rFonts w:hint="eastAsia" w:ascii="Times New Roman" w:hAnsi="仿宋" w:eastAsia="仿宋" w:cs="Times New Roman"/>
          <w:bCs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Times New Roman" w:hAnsi="仿宋" w:eastAsia="仿宋" w:cs="Times New Roman"/>
          <w:bCs/>
          <w:sz w:val="28"/>
          <w:szCs w:val="28"/>
          <w:highlight w:val="none"/>
        </w:rPr>
        <w:t>内部控制审计机构</w:t>
      </w:r>
      <w:r>
        <w:rPr>
          <w:rFonts w:ascii="Times New Roman" w:eastAsia="仿宋" w:cs="Times New Roman"/>
          <w:sz w:val="28"/>
          <w:szCs w:val="28"/>
          <w:highlight w:val="none"/>
        </w:rPr>
        <w:t>。该议案尚需股东大会审议</w:t>
      </w:r>
      <w:r>
        <w:rPr>
          <w:rFonts w:hint="eastAsia" w:ascii="Times New Roman" w:eastAsia="仿宋" w:cs="Times New Roman"/>
          <w:sz w:val="28"/>
          <w:szCs w:val="28"/>
          <w:highlight w:val="none"/>
        </w:rPr>
        <w:t>。</w:t>
      </w:r>
      <w:r>
        <w:rPr>
          <w:rFonts w:ascii="Times New Roman" w:eastAsia="仿宋" w:cs="Times New Roman"/>
          <w:sz w:val="28"/>
          <w:szCs w:val="28"/>
          <w:highlight w:val="none"/>
        </w:rPr>
        <w:t>现将有关情况公告如下：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2" w:firstLineChars="200"/>
        <w:textAlignment w:val="auto"/>
        <w:rPr>
          <w:rFonts w:ascii="Times New Roman" w:eastAsia="仿宋" w:cs="Times New Roman"/>
          <w:b/>
          <w:sz w:val="28"/>
          <w:szCs w:val="28"/>
          <w:highlight w:val="none"/>
        </w:rPr>
      </w:pPr>
      <w:r>
        <w:rPr>
          <w:rFonts w:ascii="Times New Roman" w:eastAsia="仿宋" w:cs="Times New Roman"/>
          <w:b/>
          <w:sz w:val="28"/>
          <w:szCs w:val="28"/>
          <w:highlight w:val="none"/>
        </w:rPr>
        <w:t>一、拟聘任会计师事务所的基本情况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bCs/>
          <w:sz w:val="28"/>
          <w:szCs w:val="28"/>
          <w:highlight w:val="none"/>
        </w:rPr>
      </w:pPr>
      <w:r>
        <w:rPr>
          <w:rFonts w:ascii="Times New Roman" w:eastAsia="仿宋" w:cs="Times New Roman"/>
          <w:bCs/>
          <w:sz w:val="28"/>
          <w:szCs w:val="28"/>
          <w:highlight w:val="none"/>
        </w:rPr>
        <w:t>（一）机构信息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bCs/>
          <w:sz w:val="28"/>
          <w:szCs w:val="28"/>
          <w:highlight w:val="none"/>
        </w:rPr>
      </w:pPr>
      <w:r>
        <w:rPr>
          <w:rFonts w:ascii="Times New Roman" w:eastAsia="仿宋" w:cs="Times New Roman"/>
          <w:bCs/>
          <w:sz w:val="28"/>
          <w:szCs w:val="28"/>
          <w:highlight w:val="none"/>
        </w:rPr>
        <w:t>1.基本信息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bCs/>
          <w:sz w:val="28"/>
          <w:szCs w:val="28"/>
          <w:highlight w:val="none"/>
        </w:rPr>
      </w:pPr>
      <w:r>
        <w:rPr>
          <w:rFonts w:ascii="Times New Roman" w:eastAsia="仿宋" w:cs="Times New Roman"/>
          <w:bCs/>
          <w:sz w:val="28"/>
          <w:szCs w:val="28"/>
          <w:highlight w:val="none"/>
        </w:rPr>
        <w:t>机构名称：</w:t>
      </w:r>
      <w:r>
        <w:rPr>
          <w:rFonts w:hint="eastAsia" w:ascii="Times New Roman" w:hAnsi="仿宋" w:eastAsia="仿宋" w:cs="Times New Roman"/>
          <w:bCs/>
          <w:sz w:val="28"/>
          <w:szCs w:val="28"/>
        </w:rPr>
        <w:t>天健会计师事务所（特殊普通合伙）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仿宋" w:eastAsia="仿宋" w:cs="Times New Roman"/>
          <w:bCs/>
          <w:sz w:val="28"/>
          <w:szCs w:val="28"/>
        </w:rPr>
      </w:pPr>
      <w:r>
        <w:rPr>
          <w:rFonts w:hint="eastAsia" w:ascii="Times New Roman" w:eastAsia="仿宋" w:cs="Times New Roman"/>
          <w:bCs/>
          <w:sz w:val="28"/>
          <w:szCs w:val="28"/>
          <w:highlight w:val="none"/>
        </w:rPr>
        <w:t>成立日期：</w:t>
      </w:r>
      <w:r>
        <w:rPr>
          <w:rFonts w:hint="eastAsia" w:ascii="Times New Roman" w:hAnsi="仿宋" w:eastAsia="仿宋" w:cs="Times New Roman"/>
          <w:bCs/>
          <w:sz w:val="28"/>
          <w:szCs w:val="28"/>
        </w:rPr>
        <w:t>2011年7月18日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bCs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bCs/>
          <w:sz w:val="28"/>
          <w:szCs w:val="28"/>
          <w:highlight w:val="none"/>
        </w:rPr>
        <w:t>组织形式</w:t>
      </w:r>
      <w:r>
        <w:rPr>
          <w:rFonts w:ascii="Times New Roman" w:eastAsia="仿宋" w:cs="Times New Roman"/>
          <w:bCs/>
          <w:sz w:val="28"/>
          <w:szCs w:val="28"/>
          <w:highlight w:val="none"/>
        </w:rPr>
        <w:t>：特殊普通合伙企业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ascii="Times New Roman" w:eastAsia="仿宋" w:cs="Times New Roman"/>
          <w:bCs/>
          <w:sz w:val="28"/>
          <w:szCs w:val="28"/>
          <w:highlight w:val="none"/>
        </w:rPr>
        <w:t>注册地址：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</w:rPr>
        <w:t>浙江省杭州市西湖区西溪路128号6楼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ascii="Times New Roman" w:eastAsia="仿宋" w:cs="Times New Roman"/>
          <w:bCs/>
          <w:sz w:val="28"/>
          <w:szCs w:val="28"/>
          <w:highlight w:val="none"/>
        </w:rPr>
        <w:t>首席合伙人</w:t>
      </w:r>
      <w:r>
        <w:rPr>
          <w:rFonts w:hint="eastAsia" w:ascii="Times New Roman" w:eastAsia="仿宋" w:cs="Times New Roman"/>
          <w:bCs/>
          <w:sz w:val="28"/>
          <w:szCs w:val="28"/>
          <w:highlight w:val="none"/>
        </w:rPr>
        <w:t>：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</w:rPr>
        <w:t>胡少先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截至202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月3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日，天健会计师事务所（特殊普通合伙）合伙人225人，注册会计师2,064人，签署过证券服务业务审计报告的注册会计师780人。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天健会计师事务所（特殊普通合伙）2022年度业务收入38.63亿元，审计业务收入35.41亿元，证券业务收入21.15亿元。2022年承接上市公司年报审计612家，行业涉及制造业，信息传输、软件和信息技术服务业，批发和零售业，电力、热力、燃气及水生产和供应业，水利、环境和公共设施管理业，租赁和商务服务业，房地产业，金融业，交通运输、仓储和邮政业，科学研究和技术服务业，文化、体育和娱乐业，建筑业，采矿业，农、林、牧、渔业，住宿和餐饮业，教育，综合等。本公司同行业上市公司审计客户家数10家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投资者保护能力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 xml:space="preserve">截至2022年末，天健会计师事务所（特殊普通合伙）累计已计提职业风险基金1亿元以上，购买的职业保险累计赔偿限额超过1亿元，职业风险基金计提及职业保险购买符合财政部关于《会计师事务所职业风险基金管理办法》等文件的相关规定。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 xml:space="preserve">.诚信记录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天健会计师事务所（特殊普通合伙）近三年（2020年1月1日至2022年12月31日）因执业行为受到行政处罚1次、监督管理措施13次、自律监管措施1次，未受到刑事处罚和纪律处分。从业人员近三年因执业行为受到行政处罚3人次、监督管理措施31人次、自律监管措施2人次、纪律处分3人次，共涉及39人</w:t>
      </w:r>
      <w:r>
        <w:rPr>
          <w:rFonts w:hint="eastAsia" w:ascii="Times New Roman" w:hAnsi="Times New Roman" w:eastAsia="仿宋" w:cs="Times New Roman"/>
          <w:bCs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未受到刑事处罚。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（二）项目信息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1.基本信息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项目合伙人、签字注册会计师：汪文锋，2008年成为注册会计师，2009年开始从事上市公司和挂牌公司审计，2022年开始在天健会计师事务所（特殊普通合伙）执业；近三年签署或复核4家上市公司或IPO审计报告。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签字注册会计师：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刘臻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，20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年成为注册会计师，20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年开始从事上市公司和挂牌公司审计，20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年开始在天健会计师事务所执业，近三年签署或复核1家上市公司或IPO审计报告。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项目质量控制复核人：林旺，2009年成为注册会计师，2007年开始从事上市公司和挂牌公司审计，2009年开始在天健会计师事务所执业，近三年签署上市公司审计报告4个。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诚信记录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项目合伙人、签字注册会计师、项目质量控制复核人近三年不存在因执业行为受到刑事处罚，受到证监会及其派出机构、行业主管部门等的行政处罚、监督管理措施，受到证券交易所、行业协会等自律组织的自律监管措施、纪律处分的情况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bCs/>
          <w:sz w:val="28"/>
          <w:szCs w:val="28"/>
          <w:highlight w:val="none"/>
          <w:lang w:val="en-US" w:eastAsia="zh-CN"/>
        </w:rPr>
        <w:t>3.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独立性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天健会计师事务所（特殊普通合伙）及项目合伙人、签字注册会计师、项目质量控制复核人不存在可能影响独立性的情形。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>审计收费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</w:rPr>
        <w:t xml:space="preserve">    公司拟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聘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请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天健会计师事务所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（特殊普通合伙）</w:t>
      </w:r>
      <w:r>
        <w:rPr>
          <w:rFonts w:ascii="Times New Roman" w:eastAsia="仿宋" w:cs="Times New Roman"/>
          <w:sz w:val="28"/>
          <w:szCs w:val="28"/>
          <w:highlight w:val="none"/>
        </w:rPr>
        <w:t>为</w:t>
      </w:r>
      <w:r>
        <w:rPr>
          <w:rFonts w:hint="eastAsia" w:ascii="Times New Roman" w:hAnsi="仿宋" w:eastAsia="仿宋" w:cs="Times New Roman"/>
          <w:bCs/>
          <w:sz w:val="28"/>
          <w:szCs w:val="28"/>
          <w:highlight w:val="none"/>
        </w:rPr>
        <w:t>202</w:t>
      </w:r>
      <w:r>
        <w:rPr>
          <w:rFonts w:hint="eastAsia" w:ascii="Times New Roman" w:hAnsi="仿宋" w:eastAsia="仿宋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仿宋" w:eastAsia="仿宋" w:cs="Times New Roman"/>
          <w:bCs/>
          <w:sz w:val="28"/>
          <w:szCs w:val="28"/>
          <w:highlight w:val="none"/>
        </w:rPr>
        <w:t>年度</w:t>
      </w:r>
      <w:r>
        <w:rPr>
          <w:rFonts w:ascii="Times New Roman" w:eastAsia="仿宋" w:cs="Times New Roman"/>
          <w:sz w:val="28"/>
          <w:szCs w:val="28"/>
          <w:highlight w:val="none"/>
        </w:rPr>
        <w:t>财务报告</w:t>
      </w:r>
      <w:r>
        <w:rPr>
          <w:rFonts w:hint="eastAsia" w:ascii="Times New Roman" w:eastAsia="仿宋" w:cs="Times New Roman"/>
          <w:sz w:val="28"/>
          <w:szCs w:val="28"/>
          <w:highlight w:val="none"/>
        </w:rPr>
        <w:t>及</w:t>
      </w:r>
      <w:r>
        <w:rPr>
          <w:rFonts w:ascii="Times New Roman" w:eastAsia="仿宋" w:cs="Times New Roman"/>
          <w:sz w:val="28"/>
          <w:szCs w:val="28"/>
          <w:highlight w:val="none"/>
        </w:rPr>
        <w:t>内部控制审计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，财务报告审计费用220万元、内控审计费用55万元。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2" w:firstLineChars="200"/>
        <w:textAlignment w:val="auto"/>
        <w:rPr>
          <w:rFonts w:ascii="Times New Roman" w:eastAsia="仿宋" w:cs="Times New Roman"/>
          <w:b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b/>
          <w:sz w:val="28"/>
          <w:szCs w:val="28"/>
          <w:highlight w:val="none"/>
        </w:rPr>
        <w:t>二</w:t>
      </w:r>
      <w:r>
        <w:rPr>
          <w:rFonts w:ascii="Times New Roman" w:eastAsia="仿宋" w:cs="Times New Roman"/>
          <w:b/>
          <w:sz w:val="28"/>
          <w:szCs w:val="28"/>
          <w:highlight w:val="none"/>
        </w:rPr>
        <w:t>、续聘会计师事务所履行的程序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sz w:val="28"/>
          <w:szCs w:val="28"/>
          <w:highlight w:val="none"/>
        </w:rPr>
        <w:t>（一）审计委员会履职情况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ascii="Times New Roman" w:eastAsia="仿宋" w:cs="Times New Roman"/>
          <w:sz w:val="28"/>
          <w:szCs w:val="28"/>
          <w:highlight w:val="none"/>
        </w:rPr>
        <w:t>公司董事会审计委员会事前对</w:t>
      </w:r>
      <w:r>
        <w:rPr>
          <w:rFonts w:hint="eastAsia" w:ascii="Times New Roman" w:eastAsia="仿宋" w:cs="Times New Roman"/>
          <w:sz w:val="28"/>
          <w:szCs w:val="28"/>
          <w:highlight w:val="none"/>
          <w:lang w:eastAsia="zh-CN"/>
        </w:rPr>
        <w:t>天健会计师事务所（特殊普通合伙）</w:t>
      </w:r>
      <w:r>
        <w:rPr>
          <w:rFonts w:ascii="Times New Roman" w:eastAsia="仿宋" w:cs="Times New Roman"/>
          <w:sz w:val="28"/>
          <w:szCs w:val="28"/>
          <w:highlight w:val="none"/>
        </w:rPr>
        <w:t>的资质进行了审查，认为其</w:t>
      </w:r>
      <w:r>
        <w:rPr>
          <w:rFonts w:hint="eastAsia" w:ascii="Times New Roman" w:eastAsia="仿宋" w:cs="Times New Roman"/>
          <w:sz w:val="28"/>
          <w:szCs w:val="28"/>
          <w:highlight w:val="none"/>
        </w:rPr>
        <w:t>具备多年为上市公司提供审计服务的经验与能力，满足为公司提供审计服务的资质要求，</w:t>
      </w:r>
      <w:r>
        <w:rPr>
          <w:rFonts w:ascii="Times New Roman" w:eastAsia="仿宋" w:cs="Times New Roman"/>
          <w:sz w:val="28"/>
          <w:szCs w:val="28"/>
          <w:highlight w:val="none"/>
        </w:rPr>
        <w:t>因此同意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续</w:t>
      </w:r>
      <w:r>
        <w:rPr>
          <w:rFonts w:ascii="Times New Roman" w:eastAsia="仿宋" w:cs="Times New Roman"/>
          <w:sz w:val="28"/>
          <w:szCs w:val="28"/>
          <w:highlight w:val="none"/>
        </w:rPr>
        <w:t>聘</w:t>
      </w:r>
      <w:r>
        <w:rPr>
          <w:rFonts w:hint="eastAsia" w:ascii="Times New Roman" w:eastAsia="仿宋" w:cs="Times New Roman"/>
          <w:sz w:val="28"/>
          <w:szCs w:val="28"/>
          <w:highlight w:val="none"/>
        </w:rPr>
        <w:t>天健会计师事务所</w:t>
      </w:r>
      <w:r>
        <w:rPr>
          <w:rFonts w:ascii="Times New Roman" w:eastAsia="仿宋" w:cs="Times New Roman"/>
          <w:sz w:val="28"/>
          <w:szCs w:val="28"/>
          <w:highlight w:val="none"/>
        </w:rPr>
        <w:t>（特殊普通合伙）为公司202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eastAsia="仿宋" w:cs="Times New Roman"/>
          <w:sz w:val="28"/>
          <w:szCs w:val="28"/>
          <w:highlight w:val="none"/>
        </w:rPr>
        <w:t>年度财务报告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Times New Roman" w:eastAsia="仿宋" w:cs="Times New Roman"/>
          <w:bCs/>
          <w:sz w:val="28"/>
          <w:szCs w:val="28"/>
          <w:highlight w:val="none"/>
        </w:rPr>
        <w:t>内部控制审计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机构并提交</w:t>
      </w:r>
      <w:r>
        <w:rPr>
          <w:rFonts w:ascii="Times New Roman" w:eastAsia="仿宋" w:cs="Times New Roman"/>
          <w:sz w:val="28"/>
          <w:szCs w:val="28"/>
          <w:highlight w:val="none"/>
        </w:rPr>
        <w:t>董事会提议</w:t>
      </w:r>
      <w:r>
        <w:rPr>
          <w:rFonts w:hint="eastAsia" w:ascii="Times New Roman" w:eastAsia="仿宋" w:cs="Times New Roman"/>
          <w:sz w:val="28"/>
          <w:szCs w:val="28"/>
          <w:highlight w:val="none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bCs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bCs/>
          <w:sz w:val="28"/>
          <w:szCs w:val="28"/>
          <w:highlight w:val="none"/>
        </w:rPr>
        <w:t>（二）</w:t>
      </w:r>
      <w:r>
        <w:rPr>
          <w:rFonts w:ascii="Times New Roman" w:eastAsia="仿宋" w:cs="Times New Roman"/>
          <w:bCs/>
          <w:sz w:val="28"/>
          <w:szCs w:val="28"/>
          <w:highlight w:val="none"/>
        </w:rPr>
        <w:t>独立董事事前认可和专项意见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bCs/>
          <w:sz w:val="28"/>
          <w:szCs w:val="28"/>
          <w:highlight w:val="none"/>
        </w:rPr>
      </w:pPr>
      <w:r>
        <w:rPr>
          <w:rFonts w:ascii="Times New Roman" w:eastAsia="仿宋" w:cs="Times New Roman"/>
          <w:bCs/>
          <w:sz w:val="28"/>
          <w:szCs w:val="28"/>
          <w:highlight w:val="none"/>
        </w:rPr>
        <w:t>1.独立董事事前认可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48" w:firstLineChars="196"/>
        <w:textAlignment w:val="auto"/>
        <w:rPr>
          <w:rFonts w:hint="eastAsia"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根据《关于在上市公司建立独立董事制度的指导意见》、深圳证券交易所</w:t>
      </w:r>
      <w:r>
        <w:rPr>
          <w:rFonts w:hint="eastAsia" w:hAnsi="仿宋" w:eastAsia="仿宋"/>
          <w:sz w:val="28"/>
          <w:szCs w:val="28"/>
          <w:highlight w:val="none"/>
        </w:rPr>
        <w:t>《深圳证券交易所上市公司自律监管指引第1号——主板上市公司规范运作（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2023年修订）》等相</w:t>
      </w:r>
      <w:r>
        <w:rPr>
          <w:rFonts w:hint="default" w:ascii="Times New Roman" w:hAnsi="Times New Roman" w:eastAsia="仿宋" w:cs="Times New Roman"/>
          <w:sz w:val="28"/>
          <w:szCs w:val="28"/>
        </w:rPr>
        <w:t>关规定，我们审阅了《关于续聘2023年度财务报告及内部控制审计机构的议案》及相关文件，认为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天健会计师事务所</w:t>
      </w:r>
      <w:r>
        <w:rPr>
          <w:rFonts w:hint="default" w:ascii="Times New Roman" w:hAnsi="Times New Roman" w:eastAsia="仿宋" w:cs="Times New Roman"/>
          <w:sz w:val="28"/>
          <w:szCs w:val="28"/>
        </w:rPr>
        <w:t>（特殊普通合伙）具备证券、期货相关业务资格，在为公司提供年度审计服务过程中，能遵循独立、客观、公正的执业准则，按时、按质、按量完成年度审计工作任务，较好的完成了公司20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</w:rPr>
        <w:t>年度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财务报告及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内部控制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审计</w:t>
      </w:r>
      <w:r>
        <w:rPr>
          <w:rFonts w:hint="default" w:ascii="Times New Roman" w:hAnsi="Times New Roman" w:eastAsia="仿宋" w:cs="Times New Roman"/>
          <w:sz w:val="28"/>
          <w:szCs w:val="28"/>
        </w:rPr>
        <w:t>工作，同意聘任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天健会计师事务所</w:t>
      </w:r>
      <w:r>
        <w:rPr>
          <w:rFonts w:hint="default" w:ascii="Times New Roman" w:hAnsi="Times New Roman" w:eastAsia="仿宋" w:cs="Times New Roman"/>
          <w:sz w:val="28"/>
          <w:szCs w:val="28"/>
        </w:rPr>
        <w:t>（特殊普通合伙）为公司202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年度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财</w:t>
      </w:r>
      <w:r>
        <w:rPr>
          <w:rFonts w:hint="eastAsia" w:ascii="Times New Roman" w:eastAsia="仿宋" w:cs="Times New Roman"/>
          <w:b w:val="0"/>
          <w:bCs w:val="0"/>
          <w:sz w:val="28"/>
          <w:szCs w:val="28"/>
          <w:lang w:val="en-US" w:eastAsia="zh-CN"/>
        </w:rPr>
        <w:t>务报告及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eastAsia="zh-CN"/>
        </w:rPr>
        <w:t>内部控制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审计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机构</w:t>
      </w:r>
      <w:r>
        <w:rPr>
          <w:rFonts w:hint="eastAsia" w:hAnsi="仿宋" w:eastAsia="仿宋"/>
          <w:sz w:val="28"/>
          <w:szCs w:val="28"/>
        </w:rPr>
        <w:t>，并同意将该议案提交公司董事会审议。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48" w:firstLineChars="196"/>
        <w:textAlignment w:val="auto"/>
        <w:rPr>
          <w:rFonts w:ascii="Times New Roman" w:eastAsia="仿宋" w:cs="Times New Roman"/>
          <w:bCs/>
          <w:sz w:val="28"/>
          <w:szCs w:val="28"/>
          <w:highlight w:val="none"/>
        </w:rPr>
      </w:pPr>
      <w:r>
        <w:rPr>
          <w:rFonts w:ascii="Times New Roman" w:eastAsia="仿宋" w:cs="Times New Roman"/>
          <w:bCs/>
          <w:sz w:val="28"/>
          <w:szCs w:val="28"/>
          <w:highlight w:val="none"/>
        </w:rPr>
        <w:t>2.独立董事意见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48" w:firstLineChars="196"/>
        <w:textAlignment w:val="auto"/>
        <w:rPr>
          <w:rFonts w:hint="eastAsia" w:ascii="Times New Roman" w:hAnsi="仿宋" w:eastAsia="仿宋" w:cs="Times New Roman"/>
          <w:sz w:val="28"/>
          <w:szCs w:val="28"/>
          <w:highlight w:val="none"/>
        </w:rPr>
      </w:pPr>
      <w:r>
        <w:rPr>
          <w:rFonts w:ascii="Times New Roman" w:eastAsia="仿宋" w:cs="Times New Roman"/>
          <w:sz w:val="28"/>
          <w:szCs w:val="28"/>
          <w:highlight w:val="none"/>
        </w:rPr>
        <w:t>（1）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eastAsia="zh-CN"/>
        </w:rPr>
        <w:t>天健会计师事务所（特殊普通合伙）</w:t>
      </w:r>
      <w:r>
        <w:rPr>
          <w:rFonts w:hint="eastAsia" w:hAnsi="仿宋" w:eastAsia="仿宋"/>
          <w:sz w:val="28"/>
          <w:szCs w:val="28"/>
          <w:highlight w:val="none"/>
        </w:rPr>
        <w:t>具备证券、期货相关业务资格，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>具有多年为上市公司提供财务报告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val="en-US" w:eastAsia="zh-CN"/>
        </w:rPr>
        <w:t>及内部控制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>审计服务的经验和能力，能够满足公司财务报告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val="en-US" w:eastAsia="zh-CN"/>
        </w:rPr>
        <w:t>及内部控制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>审计工作的要求，</w:t>
      </w:r>
      <w:r>
        <w:rPr>
          <w:rFonts w:hint="eastAsia" w:hAnsi="仿宋" w:eastAsia="仿宋"/>
          <w:sz w:val="28"/>
          <w:szCs w:val="28"/>
          <w:highlight w:val="none"/>
        </w:rPr>
        <w:t>较好的完成了公司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年</w:t>
      </w:r>
      <w:r>
        <w:rPr>
          <w:rFonts w:hint="eastAsia" w:hAnsi="仿宋" w:eastAsia="仿宋"/>
          <w:sz w:val="28"/>
          <w:szCs w:val="28"/>
          <w:highlight w:val="none"/>
        </w:rPr>
        <w:t>度财务报告及</w:t>
      </w:r>
      <w:r>
        <w:rPr>
          <w:rFonts w:hint="eastAsia" w:hAnsi="仿宋" w:eastAsia="仿宋"/>
          <w:sz w:val="28"/>
          <w:szCs w:val="28"/>
          <w:highlight w:val="none"/>
          <w:lang w:eastAsia="zh-CN"/>
        </w:rPr>
        <w:t>内部控制</w:t>
      </w:r>
      <w:r>
        <w:rPr>
          <w:rFonts w:hint="eastAsia" w:hAnsi="仿宋" w:eastAsia="仿宋"/>
          <w:sz w:val="28"/>
          <w:szCs w:val="28"/>
          <w:highlight w:val="none"/>
        </w:rPr>
        <w:t>审计工作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 xml:space="preserve">。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48" w:firstLineChars="196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hAnsi="仿宋" w:eastAsia="仿宋" w:cs="Times New Roman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>公司董事会审议和表决上述事项的程序符合有关法律、行政法规、部门规章、规范性文件和公司《章程》的有关规定，表决程序合法有效，不存在损害公司及其他股东利益，特别是中小股东利益的情形。因此，我们同意续聘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eastAsia="zh-CN"/>
        </w:rPr>
        <w:t>天健会计师事务所（特殊普通合伙）为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>公司 20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>年度财务报告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eastAsia="zh-CN"/>
        </w:rPr>
        <w:t>内部控制审计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  <w:lang w:val="en-US" w:eastAsia="zh-CN"/>
        </w:rPr>
        <w:t>机构</w:t>
      </w:r>
      <w:r>
        <w:rPr>
          <w:rFonts w:hint="eastAsia" w:ascii="Times New Roman" w:hAnsi="仿宋" w:eastAsia="仿宋" w:cs="Times New Roman"/>
          <w:sz w:val="28"/>
          <w:szCs w:val="28"/>
          <w:highlight w:val="none"/>
        </w:rPr>
        <w:t>，并将该议案提交公司股东大会审议。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eastAsia="仿宋" w:cs="Times New Roman"/>
          <w:sz w:val="28"/>
          <w:szCs w:val="28"/>
          <w:highlight w:val="none"/>
        </w:rPr>
        <w:t>（三）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董事会对议案审议和表决情况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  <w:r>
        <w:rPr>
          <w:rFonts w:ascii="Times New Roman" w:eastAsia="仿宋" w:cs="Times New Roman"/>
          <w:sz w:val="28"/>
          <w:szCs w:val="28"/>
          <w:highlight w:val="none"/>
        </w:rPr>
        <w:t>公司于202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eastAsia="仿宋" w:cs="Times New Roman"/>
          <w:sz w:val="28"/>
          <w:szCs w:val="28"/>
          <w:highlight w:val="none"/>
        </w:rPr>
        <w:t>年1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2</w:t>
      </w:r>
      <w:r>
        <w:rPr>
          <w:rFonts w:ascii="Times New Roman" w:eastAsia="仿宋" w:cs="Times New Roman"/>
          <w:sz w:val="28"/>
          <w:szCs w:val="28"/>
          <w:highlight w:val="none"/>
        </w:rPr>
        <w:t>月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11</w:t>
      </w:r>
      <w:r>
        <w:rPr>
          <w:rFonts w:ascii="Times New Roman" w:eastAsia="仿宋" w:cs="Times New Roman"/>
          <w:sz w:val="28"/>
          <w:szCs w:val="28"/>
          <w:highlight w:val="none"/>
        </w:rPr>
        <w:t>日召开第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ascii="Times New Roman" w:eastAsia="仿宋" w:cs="Times New Roman"/>
          <w:sz w:val="28"/>
          <w:szCs w:val="28"/>
          <w:highlight w:val="none"/>
        </w:rPr>
        <w:t>届董事会第</w:t>
      </w:r>
      <w:r>
        <w:rPr>
          <w:rFonts w:hint="eastAsia" w:ascii="Times New Roman" w:eastAsia="仿宋" w:cs="Times New Roman"/>
          <w:sz w:val="28"/>
          <w:szCs w:val="28"/>
          <w:highlight w:val="none"/>
        </w:rPr>
        <w:t>十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二</w:t>
      </w:r>
      <w:r>
        <w:rPr>
          <w:rFonts w:ascii="Times New Roman" w:eastAsia="仿宋" w:cs="Times New Roman"/>
          <w:sz w:val="28"/>
          <w:szCs w:val="28"/>
          <w:highlight w:val="none"/>
        </w:rPr>
        <w:t>次会议，审议通过了《</w:t>
      </w:r>
      <w:r>
        <w:rPr>
          <w:rFonts w:hint="eastAsia" w:ascii="Times New Roman" w:eastAsia="仿宋" w:cs="Times New Roman"/>
          <w:sz w:val="28"/>
          <w:szCs w:val="28"/>
          <w:highlight w:val="none"/>
        </w:rPr>
        <w:t>关于续聘2023年度财务报告及内部控制审计机构的议案</w:t>
      </w:r>
      <w:r>
        <w:rPr>
          <w:rFonts w:ascii="Times New Roman" w:eastAsia="仿宋" w:cs="Times New Roman"/>
          <w:sz w:val="28"/>
          <w:szCs w:val="28"/>
          <w:highlight w:val="none"/>
        </w:rPr>
        <w:t>》，同意续聘</w:t>
      </w:r>
      <w:r>
        <w:rPr>
          <w:rFonts w:hint="eastAsia" w:ascii="Times New Roman" w:hAnsi="仿宋" w:eastAsia="仿宋" w:cs="Times New Roman"/>
          <w:sz w:val="28"/>
          <w:szCs w:val="28"/>
          <w:lang w:eastAsia="zh-CN"/>
        </w:rPr>
        <w:t>天健会计师事务所（特殊普通合伙）</w:t>
      </w:r>
      <w:r>
        <w:rPr>
          <w:rFonts w:ascii="Times New Roman" w:eastAsia="仿宋" w:cs="Times New Roman"/>
          <w:sz w:val="28"/>
          <w:szCs w:val="28"/>
          <w:highlight w:val="none"/>
        </w:rPr>
        <w:t>为公司20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23</w:t>
      </w:r>
      <w:r>
        <w:rPr>
          <w:rFonts w:ascii="Times New Roman" w:eastAsia="仿宋" w:cs="Times New Roman"/>
          <w:sz w:val="28"/>
          <w:szCs w:val="28"/>
          <w:highlight w:val="none"/>
        </w:rPr>
        <w:t>年度财务报告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Times New Roman" w:eastAsia="仿宋" w:cs="Times New Roman"/>
          <w:bCs/>
          <w:sz w:val="28"/>
          <w:szCs w:val="28"/>
          <w:highlight w:val="none"/>
        </w:rPr>
        <w:t>内部控制审计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机构</w:t>
      </w:r>
      <w:r>
        <w:rPr>
          <w:rFonts w:ascii="Times New Roman" w:eastAsia="仿宋" w:cs="Times New Roman"/>
          <w:sz w:val="28"/>
          <w:szCs w:val="28"/>
          <w:highlight w:val="none"/>
        </w:rPr>
        <w:t>，财务报告审计费用220万元、内控审计费用55万元。该事项尚需公司股东大会审议。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生效日期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 xml:space="preserve">     本次</w:t>
      </w:r>
      <w:r>
        <w:rPr>
          <w:rFonts w:ascii="Times New Roman" w:eastAsia="仿宋" w:cs="Times New Roman"/>
          <w:sz w:val="28"/>
          <w:szCs w:val="28"/>
          <w:highlight w:val="none"/>
        </w:rPr>
        <w:t>续聘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天健</w:t>
      </w:r>
      <w:r>
        <w:rPr>
          <w:rFonts w:ascii="Times New Roman" w:eastAsia="仿宋" w:cs="Times New Roman"/>
          <w:sz w:val="28"/>
          <w:szCs w:val="28"/>
          <w:highlight w:val="none"/>
        </w:rPr>
        <w:t>会计师事务所（特殊普通合伙）为公司202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ascii="Times New Roman" w:eastAsia="仿宋" w:cs="Times New Roman"/>
          <w:sz w:val="28"/>
          <w:szCs w:val="28"/>
          <w:highlight w:val="none"/>
        </w:rPr>
        <w:t>年度财务报告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Times New Roman" w:eastAsia="仿宋" w:cs="Times New Roman"/>
          <w:bCs/>
          <w:sz w:val="28"/>
          <w:szCs w:val="28"/>
          <w:highlight w:val="none"/>
        </w:rPr>
        <w:t>内部控制审计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机构</w:t>
      </w:r>
      <w:r>
        <w:rPr>
          <w:rFonts w:ascii="Times New Roman" w:eastAsia="仿宋" w:cs="Times New Roman"/>
          <w:sz w:val="28"/>
          <w:szCs w:val="28"/>
          <w:highlight w:val="none"/>
        </w:rPr>
        <w:t>事项尚需公司股东大会审议</w:t>
      </w:r>
      <w:r>
        <w:rPr>
          <w:rFonts w:hint="eastAsia" w:asci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并自公司股东大会审议通过之日起生效。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2" w:firstLineChars="200"/>
        <w:textAlignment w:val="auto"/>
        <w:rPr>
          <w:rFonts w:ascii="Times New Roman" w:eastAsia="仿宋" w:cs="Times New Roman"/>
          <w:b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b/>
          <w:sz w:val="28"/>
          <w:szCs w:val="28"/>
          <w:highlight w:val="none"/>
        </w:rPr>
        <w:t>三</w:t>
      </w:r>
      <w:r>
        <w:rPr>
          <w:rFonts w:ascii="Times New Roman" w:eastAsia="仿宋" w:cs="Times New Roman"/>
          <w:b/>
          <w:sz w:val="28"/>
          <w:szCs w:val="28"/>
          <w:highlight w:val="none"/>
        </w:rPr>
        <w:t>、备查文件目录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  <w:r>
        <w:rPr>
          <w:rFonts w:ascii="Times New Roman" w:eastAsia="仿宋" w:cs="Times New Roman"/>
          <w:sz w:val="28"/>
          <w:szCs w:val="28"/>
          <w:highlight w:val="none"/>
        </w:rPr>
        <w:t>1.公司第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九</w:t>
      </w:r>
      <w:r>
        <w:rPr>
          <w:rFonts w:ascii="Times New Roman" w:eastAsia="仿宋" w:cs="Times New Roman"/>
          <w:sz w:val="28"/>
          <w:szCs w:val="28"/>
          <w:highlight w:val="none"/>
        </w:rPr>
        <w:t>届董事会第</w:t>
      </w:r>
      <w:r>
        <w:rPr>
          <w:rFonts w:hint="eastAsia" w:ascii="Times New Roman" w:eastAsia="仿宋" w:cs="Times New Roman"/>
          <w:sz w:val="28"/>
          <w:szCs w:val="28"/>
          <w:highlight w:val="none"/>
          <w:lang w:val="en-US" w:eastAsia="zh-CN"/>
        </w:rPr>
        <w:t>十二</w:t>
      </w:r>
      <w:r>
        <w:rPr>
          <w:rFonts w:ascii="Times New Roman" w:eastAsia="仿宋" w:cs="Times New Roman"/>
          <w:sz w:val="28"/>
          <w:szCs w:val="28"/>
          <w:highlight w:val="none"/>
        </w:rPr>
        <w:t>次会议决议；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sz w:val="28"/>
          <w:szCs w:val="28"/>
          <w:highlight w:val="none"/>
        </w:rPr>
        <w:t>2.审计委员会履职情况的证明文件；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  <w:r>
        <w:rPr>
          <w:rFonts w:hint="eastAsia" w:ascii="Times New Roman" w:eastAsia="仿宋" w:cs="Times New Roman"/>
          <w:sz w:val="28"/>
          <w:szCs w:val="28"/>
          <w:highlight w:val="none"/>
        </w:rPr>
        <w:t>3.</w:t>
      </w:r>
      <w:r>
        <w:rPr>
          <w:rFonts w:ascii="Times New Roman" w:eastAsia="仿宋" w:cs="Times New Roman"/>
          <w:sz w:val="28"/>
          <w:szCs w:val="28"/>
          <w:highlight w:val="none"/>
        </w:rPr>
        <w:t>公司独立董事的事前认可意见和独立意见。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  <w:r>
        <w:rPr>
          <w:rFonts w:ascii="Times New Roman" w:eastAsia="仿宋" w:cs="Times New Roman"/>
          <w:sz w:val="28"/>
          <w:szCs w:val="28"/>
          <w:highlight w:val="none"/>
        </w:rPr>
        <w:t xml:space="preserve">特此公告。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4900" w:firstLineChars="1750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4900" w:firstLineChars="1750"/>
        <w:textAlignment w:val="auto"/>
        <w:rPr>
          <w:rFonts w:ascii="Times New Roman" w:eastAsia="仿宋" w:cs="Times New Roman"/>
          <w:sz w:val="28"/>
          <w:szCs w:val="28"/>
          <w:highlight w:val="none"/>
        </w:rPr>
      </w:pPr>
      <w:r>
        <w:rPr>
          <w:rFonts w:ascii="Times New Roman" w:eastAsia="仿宋" w:cs="Times New Roman"/>
          <w:sz w:val="28"/>
          <w:szCs w:val="28"/>
          <w:highlight w:val="none"/>
        </w:rPr>
        <w:t>吉林电力股份有限公司董事会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ascii="Times New Roman" w:eastAsia="仿宋" w:cs="Times New Roman"/>
          <w:sz w:val="28"/>
          <w:szCs w:val="28"/>
          <w:highlight w:val="non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sym w:font="Symbol" w:char="F04F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sectPr>
      <w:headerReference r:id="rId3" w:type="default"/>
      <w:footerReference r:id="rId4" w:type="default"/>
      <w:footerReference r:id="rId5" w:type="even"/>
      <w:type w:val="continuous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15A63"/>
    <w:multiLevelType w:val="singleLevel"/>
    <w:tmpl w:val="3E015A6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D20BEF"/>
    <w:multiLevelType w:val="singleLevel"/>
    <w:tmpl w:val="73D20BE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82F283D"/>
    <w:multiLevelType w:val="multilevel"/>
    <w:tmpl w:val="782F283D"/>
    <w:lvl w:ilvl="0" w:tentative="0">
      <w:start w:val="1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DUxMmU3NmEwMTE5M2Q5ZTg0MGVmOGY5OWRhMDQifQ=="/>
  </w:docVars>
  <w:rsids>
    <w:rsidRoot w:val="00E46CEE"/>
    <w:rsid w:val="00005E64"/>
    <w:rsid w:val="00061F63"/>
    <w:rsid w:val="0006287B"/>
    <w:rsid w:val="00083B68"/>
    <w:rsid w:val="00084FC9"/>
    <w:rsid w:val="000F12D9"/>
    <w:rsid w:val="001220D6"/>
    <w:rsid w:val="00125ACA"/>
    <w:rsid w:val="00142339"/>
    <w:rsid w:val="00156CC3"/>
    <w:rsid w:val="00177471"/>
    <w:rsid w:val="001850AE"/>
    <w:rsid w:val="00190598"/>
    <w:rsid w:val="001B1F09"/>
    <w:rsid w:val="002322FE"/>
    <w:rsid w:val="00267EBE"/>
    <w:rsid w:val="00286EF4"/>
    <w:rsid w:val="002E068E"/>
    <w:rsid w:val="002F3ACF"/>
    <w:rsid w:val="002F3FD9"/>
    <w:rsid w:val="003217E4"/>
    <w:rsid w:val="00340368"/>
    <w:rsid w:val="003840AD"/>
    <w:rsid w:val="003A66D1"/>
    <w:rsid w:val="00402BF4"/>
    <w:rsid w:val="00442A0D"/>
    <w:rsid w:val="00476B4B"/>
    <w:rsid w:val="00481ABD"/>
    <w:rsid w:val="004A3082"/>
    <w:rsid w:val="004B5430"/>
    <w:rsid w:val="004D0B80"/>
    <w:rsid w:val="004D5C0F"/>
    <w:rsid w:val="004E13DD"/>
    <w:rsid w:val="005055CF"/>
    <w:rsid w:val="00505975"/>
    <w:rsid w:val="00506D31"/>
    <w:rsid w:val="00513524"/>
    <w:rsid w:val="00525D9B"/>
    <w:rsid w:val="00534A77"/>
    <w:rsid w:val="00542BC9"/>
    <w:rsid w:val="005870B6"/>
    <w:rsid w:val="005C6366"/>
    <w:rsid w:val="005F73B1"/>
    <w:rsid w:val="00603CBD"/>
    <w:rsid w:val="00626152"/>
    <w:rsid w:val="006A1FAA"/>
    <w:rsid w:val="006C31AE"/>
    <w:rsid w:val="007358C2"/>
    <w:rsid w:val="007C7BBE"/>
    <w:rsid w:val="007C7BEC"/>
    <w:rsid w:val="007F0FC5"/>
    <w:rsid w:val="008201B9"/>
    <w:rsid w:val="00825ACB"/>
    <w:rsid w:val="008307EE"/>
    <w:rsid w:val="0086743E"/>
    <w:rsid w:val="0087160C"/>
    <w:rsid w:val="00887ACA"/>
    <w:rsid w:val="008A3837"/>
    <w:rsid w:val="008B1AE5"/>
    <w:rsid w:val="008C30AA"/>
    <w:rsid w:val="008C36C0"/>
    <w:rsid w:val="008C4A47"/>
    <w:rsid w:val="008C568C"/>
    <w:rsid w:val="008F203B"/>
    <w:rsid w:val="009208D7"/>
    <w:rsid w:val="00923C64"/>
    <w:rsid w:val="009332C2"/>
    <w:rsid w:val="00933F61"/>
    <w:rsid w:val="009757E1"/>
    <w:rsid w:val="009910D1"/>
    <w:rsid w:val="00A30E8D"/>
    <w:rsid w:val="00A56B0B"/>
    <w:rsid w:val="00A82A50"/>
    <w:rsid w:val="00AA6B0C"/>
    <w:rsid w:val="00B236B8"/>
    <w:rsid w:val="00B310A8"/>
    <w:rsid w:val="00B507DD"/>
    <w:rsid w:val="00B73ED2"/>
    <w:rsid w:val="00B7679E"/>
    <w:rsid w:val="00BB15CB"/>
    <w:rsid w:val="00BB588E"/>
    <w:rsid w:val="00BD4770"/>
    <w:rsid w:val="00BD6468"/>
    <w:rsid w:val="00BE76E5"/>
    <w:rsid w:val="00C42ED7"/>
    <w:rsid w:val="00C6273E"/>
    <w:rsid w:val="00C84809"/>
    <w:rsid w:val="00C86D71"/>
    <w:rsid w:val="00CA486D"/>
    <w:rsid w:val="00CA49A4"/>
    <w:rsid w:val="00D03357"/>
    <w:rsid w:val="00D21109"/>
    <w:rsid w:val="00D2790F"/>
    <w:rsid w:val="00D32ADC"/>
    <w:rsid w:val="00D93E89"/>
    <w:rsid w:val="00DA186D"/>
    <w:rsid w:val="00DA5F7C"/>
    <w:rsid w:val="00DB073C"/>
    <w:rsid w:val="00DF210D"/>
    <w:rsid w:val="00DF5A3A"/>
    <w:rsid w:val="00E004A9"/>
    <w:rsid w:val="00E03C9E"/>
    <w:rsid w:val="00E22E12"/>
    <w:rsid w:val="00E46CEE"/>
    <w:rsid w:val="00ED16EE"/>
    <w:rsid w:val="00ED2080"/>
    <w:rsid w:val="00ED4814"/>
    <w:rsid w:val="00EF706E"/>
    <w:rsid w:val="00F113C9"/>
    <w:rsid w:val="00F20B12"/>
    <w:rsid w:val="00F53BA9"/>
    <w:rsid w:val="00F56DD0"/>
    <w:rsid w:val="00F60173"/>
    <w:rsid w:val="00F60AC9"/>
    <w:rsid w:val="00F83C74"/>
    <w:rsid w:val="00FE6B2A"/>
    <w:rsid w:val="04C91ED8"/>
    <w:rsid w:val="064348AA"/>
    <w:rsid w:val="06DB4BF8"/>
    <w:rsid w:val="07A8382E"/>
    <w:rsid w:val="0AD767F4"/>
    <w:rsid w:val="0B502C67"/>
    <w:rsid w:val="0CD37B05"/>
    <w:rsid w:val="10F26BC3"/>
    <w:rsid w:val="11EA01FF"/>
    <w:rsid w:val="140B67B0"/>
    <w:rsid w:val="19153BA6"/>
    <w:rsid w:val="199D0535"/>
    <w:rsid w:val="1A863270"/>
    <w:rsid w:val="1AEF4F94"/>
    <w:rsid w:val="1C610D95"/>
    <w:rsid w:val="1E942B55"/>
    <w:rsid w:val="217C3375"/>
    <w:rsid w:val="223727D1"/>
    <w:rsid w:val="253E147F"/>
    <w:rsid w:val="26702CF3"/>
    <w:rsid w:val="2B5F5208"/>
    <w:rsid w:val="2D5C55E7"/>
    <w:rsid w:val="2FCA2120"/>
    <w:rsid w:val="31693E41"/>
    <w:rsid w:val="335465B3"/>
    <w:rsid w:val="350F59F3"/>
    <w:rsid w:val="38FA2082"/>
    <w:rsid w:val="3A250742"/>
    <w:rsid w:val="3A780055"/>
    <w:rsid w:val="3BFB15C3"/>
    <w:rsid w:val="3C1E2F77"/>
    <w:rsid w:val="3DBC7387"/>
    <w:rsid w:val="3E1C5F6A"/>
    <w:rsid w:val="3EBD04CA"/>
    <w:rsid w:val="41D07CEC"/>
    <w:rsid w:val="425464A2"/>
    <w:rsid w:val="43E53802"/>
    <w:rsid w:val="4B3E45A9"/>
    <w:rsid w:val="4D861D28"/>
    <w:rsid w:val="520D2B4D"/>
    <w:rsid w:val="52CA0F12"/>
    <w:rsid w:val="54A41E62"/>
    <w:rsid w:val="59176EB9"/>
    <w:rsid w:val="5D8764C2"/>
    <w:rsid w:val="60EF490C"/>
    <w:rsid w:val="613D79A2"/>
    <w:rsid w:val="616F199E"/>
    <w:rsid w:val="61E3739E"/>
    <w:rsid w:val="62F62DA3"/>
    <w:rsid w:val="637B56BD"/>
    <w:rsid w:val="63BC335A"/>
    <w:rsid w:val="64353445"/>
    <w:rsid w:val="659C636E"/>
    <w:rsid w:val="6836062D"/>
    <w:rsid w:val="721C3C9D"/>
    <w:rsid w:val="74CB63FA"/>
    <w:rsid w:val="774D3BDB"/>
    <w:rsid w:val="78F25896"/>
    <w:rsid w:val="7A47044F"/>
    <w:rsid w:val="7D513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link w:val="5"/>
    <w:qFormat/>
    <w:uiPriority w:val="0"/>
    <w:pPr>
      <w:snapToGrid w:val="0"/>
    </w:pPr>
    <w:rPr>
      <w:rFonts w:ascii="Arial" w:hAnsi="Arial"/>
      <w:szCs w:val="21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04276"/>
      <w:u w:val="none"/>
    </w:rPr>
  </w:style>
  <w:style w:type="paragraph" w:customStyle="1" w:styleId="9">
    <w:name w:val=" Char1 Char Char Char Char Char Char Char Char Char Char Char"/>
    <w:basedOn w:val="1"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425</Words>
  <Characters>2429</Characters>
  <Lines>20</Lines>
  <Paragraphs>5</Paragraphs>
  <TotalTime>97</TotalTime>
  <ScaleCrop>false</ScaleCrop>
  <LinksUpToDate>false</LinksUpToDate>
  <CharactersWithSpaces>2849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2015-01-08T02:26:00Z</dcterms:created>
  <dc:creator>石　岚</dc:creator>
  <cp:lastModifiedBy>WPS_1591103659</cp:lastModifiedBy>
  <cp:lastPrinted>2015-01-09T01:50:00Z</cp:lastPrinted>
  <dcterms:modified xsi:type="dcterms:W3CDTF">2023-12-11T09:35:42Z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B69A995B53AF48AF85F6ECECDB1C96E3_13</vt:lpwstr>
  </property>
</Properties>
</file>