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宋体"/>
          <w:color w:val="FF0000"/>
          <w:lang w:eastAsia="zh-CN"/>
        </w:rPr>
      </w:pPr>
      <w:r>
        <w:t xml:space="preserve">证券代码：000875         </w:t>
      </w:r>
      <w:r>
        <w:rPr>
          <w:rFonts w:hint="eastAsia"/>
        </w:rPr>
        <w:t xml:space="preserve">  </w:t>
      </w:r>
      <w:r>
        <w:t xml:space="preserve"> 证券简称：吉电股份       </w:t>
      </w:r>
      <w:r>
        <w:rPr>
          <w:rFonts w:hint="eastAsia"/>
        </w:rPr>
        <w:t xml:space="preserve"> </w:t>
      </w:r>
      <w:r>
        <w:t xml:space="preserve">      公告编号：20</w:t>
      </w:r>
      <w:r>
        <w:rPr>
          <w:rFonts w:hint="eastAsia"/>
        </w:rPr>
        <w:t>24-03</w:t>
      </w:r>
      <w:r>
        <w:rPr>
          <w:rFonts w:hint="eastAsia"/>
          <w:lang w:val="en-US" w:eastAsia="zh-CN"/>
        </w:rPr>
        <w:t>5</w:t>
      </w:r>
    </w:p>
    <w:p>
      <w:pPr>
        <w:spacing w:line="560" w:lineRule="exact"/>
        <w:rPr>
          <w:rFonts w:hint="eastAsia"/>
          <w:b/>
          <w:sz w:val="44"/>
          <w:szCs w:val="44"/>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15240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4pt;margin-top:1.2pt;height:1.8pt;width:426.6pt;z-index:251659264;mso-width-relative:page;mso-height-relative:page;" filled="f" stroked="t" coordsize="21600,21600" o:gfxdata="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mgti1AAAAAcBAAAPAAAAAAAAAAEAIAAAACIAAABkcnMvZG93bnJldi54bWxQSwEC&#10;FAAUAAAACACHTuJAU0VtJ/gBAADwAwAADgAAAAAAAAABACAAAAAjAQAAZHJzL2Uyb0RvYy54bWxQ&#10;SwUGAAAAAAYABgBZAQAAjQUAAAAA&#10;">
                <v:fill on="f" focussize="0,0"/>
                <v:stroke weight="4.5pt" color="#FF6600" linestyle="thinThick" joinstyle="round"/>
                <v:imagedata o:title=""/>
                <o:lock v:ext="edit" aspectratio="f"/>
              </v:line>
            </w:pict>
          </mc:Fallback>
        </mc:AlternateContent>
      </w:r>
    </w:p>
    <w:p>
      <w:pPr>
        <w:jc w:val="center"/>
        <w:rPr>
          <w:b/>
          <w:sz w:val="44"/>
          <w:szCs w:val="44"/>
        </w:rPr>
      </w:pPr>
      <w:r>
        <w:rPr>
          <w:rFonts w:hint="eastAsia"/>
          <w:b/>
          <w:sz w:val="44"/>
          <w:szCs w:val="44"/>
        </w:rPr>
        <w:t xml:space="preserve">    </w:t>
      </w:r>
      <w:r>
        <w:rPr>
          <w:b/>
          <w:sz w:val="44"/>
          <w:szCs w:val="44"/>
        </w:rPr>
        <w:t>吉林电力股份有限公司</w:t>
      </w:r>
    </w:p>
    <w:p>
      <w:pPr>
        <w:spacing w:line="560" w:lineRule="exact"/>
        <w:ind w:firstLine="883" w:firstLineChars="200"/>
        <w:jc w:val="center"/>
        <w:rPr>
          <w:b/>
          <w:sz w:val="44"/>
          <w:szCs w:val="44"/>
        </w:rPr>
      </w:pPr>
      <w:r>
        <w:rPr>
          <w:b/>
          <w:sz w:val="44"/>
          <w:szCs w:val="44"/>
        </w:rPr>
        <w:t>关于使用闲置募集资金暂时补充流动资金的公告</w:t>
      </w:r>
    </w:p>
    <w:p>
      <w:pPr>
        <w:spacing w:line="560" w:lineRule="exact"/>
        <w:ind w:firstLine="883" w:firstLineChars="200"/>
        <w:rPr>
          <w:b/>
          <w:sz w:val="44"/>
          <w:szCs w:val="44"/>
        </w:rPr>
      </w:pPr>
    </w:p>
    <w:p>
      <w:pPr>
        <w:spacing w:line="560" w:lineRule="exact"/>
        <w:ind w:firstLine="562" w:firstLineChars="200"/>
        <w:rPr>
          <w:rFonts w:eastAsia="仿宋"/>
          <w:b/>
          <w:sz w:val="28"/>
          <w:szCs w:val="28"/>
        </w:rPr>
      </w:pPr>
      <w:r>
        <w:rPr>
          <w:rFonts w:hAnsi="仿宋" w:eastAsia="仿宋"/>
          <w:b/>
          <w:sz w:val="28"/>
          <w:szCs w:val="28"/>
        </w:rPr>
        <w:t>本公司及</w:t>
      </w:r>
      <w:r>
        <w:rPr>
          <w:rFonts w:hint="eastAsia" w:hAnsi="仿宋" w:eastAsia="仿宋"/>
          <w:b/>
          <w:sz w:val="28"/>
          <w:szCs w:val="28"/>
        </w:rPr>
        <w:t>董</w:t>
      </w:r>
      <w:r>
        <w:rPr>
          <w:rFonts w:hAnsi="仿宋" w:eastAsia="仿宋"/>
          <w:b/>
          <w:sz w:val="28"/>
          <w:szCs w:val="28"/>
        </w:rPr>
        <w:t>事会全体成员保证公告内容的真实、准确、完整，没有虚假记载、误导性陈述或重大遗漏。</w:t>
      </w:r>
    </w:p>
    <w:p>
      <w:pPr>
        <w:jc w:val="center"/>
        <w:rPr>
          <w:b/>
          <w:sz w:val="44"/>
          <w:szCs w:val="44"/>
        </w:rPr>
      </w:pPr>
    </w:p>
    <w:p>
      <w:pPr>
        <w:ind w:firstLine="560" w:firstLineChars="200"/>
        <w:rPr>
          <w:rFonts w:eastAsia="仿宋"/>
          <w:sz w:val="28"/>
          <w:szCs w:val="28"/>
        </w:rPr>
      </w:pPr>
      <w:r>
        <w:rPr>
          <w:rFonts w:eastAsia="仿宋"/>
          <w:sz w:val="28"/>
          <w:szCs w:val="28"/>
        </w:rPr>
        <w:t>吉林电力股份有限公司（以下简称“公司”）于202</w:t>
      </w:r>
      <w:r>
        <w:rPr>
          <w:rFonts w:hint="eastAsia" w:eastAsia="仿宋"/>
          <w:sz w:val="28"/>
          <w:szCs w:val="28"/>
        </w:rPr>
        <w:t>4</w:t>
      </w:r>
      <w:r>
        <w:rPr>
          <w:rFonts w:eastAsia="仿宋"/>
          <w:sz w:val="28"/>
          <w:szCs w:val="28"/>
        </w:rPr>
        <w:t>年4月2</w:t>
      </w:r>
      <w:r>
        <w:rPr>
          <w:rFonts w:hint="eastAsia" w:eastAsia="仿宋"/>
          <w:sz w:val="28"/>
          <w:szCs w:val="28"/>
        </w:rPr>
        <w:t>6</w:t>
      </w:r>
      <w:r>
        <w:rPr>
          <w:rFonts w:eastAsia="仿宋"/>
          <w:sz w:val="28"/>
          <w:szCs w:val="28"/>
        </w:rPr>
        <w:t>日召开第</w:t>
      </w:r>
      <w:r>
        <w:rPr>
          <w:rFonts w:hint="eastAsia" w:eastAsia="仿宋"/>
          <w:sz w:val="28"/>
          <w:szCs w:val="28"/>
        </w:rPr>
        <w:t>九</w:t>
      </w:r>
      <w:r>
        <w:rPr>
          <w:rFonts w:eastAsia="仿宋"/>
          <w:sz w:val="28"/>
          <w:szCs w:val="28"/>
        </w:rPr>
        <w:t>届董事会第</w:t>
      </w:r>
      <w:r>
        <w:rPr>
          <w:rFonts w:hint="eastAsia" w:eastAsia="仿宋"/>
          <w:sz w:val="28"/>
          <w:szCs w:val="28"/>
        </w:rPr>
        <w:t>十七</w:t>
      </w:r>
      <w:r>
        <w:rPr>
          <w:rFonts w:eastAsia="仿宋"/>
          <w:sz w:val="28"/>
          <w:szCs w:val="28"/>
        </w:rPr>
        <w:t>次会议，审议通过了《关于使用闲置募集资金暂时补充流动资金的议案》，同意公司使用不超过人民币2</w:t>
      </w:r>
      <w:r>
        <w:rPr>
          <w:rFonts w:hint="eastAsia" w:eastAsia="仿宋"/>
          <w:sz w:val="28"/>
          <w:szCs w:val="28"/>
        </w:rPr>
        <w:t>0</w:t>
      </w:r>
      <w:r>
        <w:rPr>
          <w:rFonts w:eastAsia="仿宋"/>
          <w:sz w:val="28"/>
          <w:szCs w:val="28"/>
        </w:rPr>
        <w:t>,</w:t>
      </w:r>
      <w:r>
        <w:rPr>
          <w:rFonts w:hint="eastAsia" w:eastAsia="仿宋"/>
          <w:sz w:val="28"/>
          <w:szCs w:val="28"/>
        </w:rPr>
        <w:t>7</w:t>
      </w:r>
      <w:r>
        <w:rPr>
          <w:rFonts w:eastAsia="仿宋"/>
          <w:sz w:val="28"/>
          <w:szCs w:val="28"/>
        </w:rPr>
        <w:t>00万元的闲置募集资金暂时补充流动资金，使用期限自本次董事会审议批准之日起不超过12个月。</w:t>
      </w:r>
    </w:p>
    <w:p>
      <w:pPr>
        <w:ind w:firstLine="560" w:firstLineChars="200"/>
        <w:rPr>
          <w:rFonts w:eastAsia="仿宋"/>
          <w:sz w:val="28"/>
          <w:szCs w:val="28"/>
        </w:rPr>
      </w:pPr>
      <w:r>
        <w:rPr>
          <w:rFonts w:eastAsia="仿宋"/>
          <w:sz w:val="28"/>
          <w:szCs w:val="28"/>
        </w:rPr>
        <w:t>本次使用闲置募集资金暂时补充流动资金事项不存在变相改变募集资金用途的行为，且不影响募集资金投资项目的正常实施。现将具体情况公告如下：</w:t>
      </w:r>
    </w:p>
    <w:p>
      <w:pPr>
        <w:ind w:firstLine="562" w:firstLineChars="200"/>
        <w:rPr>
          <w:rFonts w:eastAsia="仿宋"/>
          <w:b/>
          <w:sz w:val="28"/>
          <w:szCs w:val="28"/>
        </w:rPr>
      </w:pPr>
      <w:r>
        <w:rPr>
          <w:rFonts w:eastAsia="仿宋"/>
          <w:b/>
          <w:sz w:val="28"/>
          <w:szCs w:val="28"/>
        </w:rPr>
        <w:t>一、募集资金基本情况</w:t>
      </w:r>
    </w:p>
    <w:p>
      <w:pPr>
        <w:autoSpaceDE w:val="0"/>
        <w:autoSpaceDN w:val="0"/>
        <w:ind w:firstLine="560" w:firstLineChars="200"/>
        <w:rPr>
          <w:rFonts w:eastAsia="仿宋"/>
          <w:sz w:val="28"/>
          <w:szCs w:val="28"/>
        </w:rPr>
      </w:pPr>
      <w:r>
        <w:rPr>
          <w:rFonts w:eastAsia="仿宋"/>
          <w:sz w:val="28"/>
          <w:szCs w:val="28"/>
        </w:rPr>
        <w:t>2016年，经中国证券监督管理委员会（以下简称“中国证监会”）《关于核准吉林电力股份有限公司非公开发行股票的批复》（证监许可[2016]1994号）核准，</w:t>
      </w:r>
      <w:r>
        <w:rPr>
          <w:rFonts w:hint="eastAsia" w:eastAsia="仿宋"/>
          <w:sz w:val="28"/>
          <w:szCs w:val="28"/>
        </w:rPr>
        <w:t>公司</w:t>
      </w:r>
      <w:r>
        <w:rPr>
          <w:rFonts w:eastAsia="仿宋"/>
          <w:sz w:val="28"/>
          <w:szCs w:val="28"/>
        </w:rPr>
        <w:t>向国家电投集团吉林省能源交通总公司等不超过十名的特定对象非公开发行股票685,701,785股新股，发行价格为5.60元/股，募集资金总额为人民币3,839,929,996.00元，扣除发行费用后的募集资金净额为人民币3,757,267,402.43元。</w:t>
      </w:r>
    </w:p>
    <w:p>
      <w:pPr>
        <w:autoSpaceDE w:val="0"/>
        <w:autoSpaceDN w:val="0"/>
        <w:ind w:firstLine="560" w:firstLineChars="200"/>
        <w:rPr>
          <w:rFonts w:eastAsia="仿宋"/>
          <w:sz w:val="28"/>
          <w:szCs w:val="28"/>
        </w:rPr>
      </w:pPr>
      <w:r>
        <w:rPr>
          <w:rFonts w:eastAsia="仿宋"/>
          <w:sz w:val="28"/>
          <w:szCs w:val="28"/>
        </w:rPr>
        <w:t>募集资金到位情况已经瑞华会计师事务所（特殊普通合伙）验证，并出具了编号为瑞华验字[2016]24020001号的验资报告。</w:t>
      </w:r>
    </w:p>
    <w:p>
      <w:pPr>
        <w:ind w:firstLine="562" w:firstLineChars="200"/>
        <w:rPr>
          <w:rFonts w:eastAsia="仿宋"/>
          <w:b/>
          <w:sz w:val="28"/>
          <w:szCs w:val="28"/>
        </w:rPr>
      </w:pPr>
      <w:r>
        <w:rPr>
          <w:rFonts w:eastAsia="仿宋"/>
          <w:b/>
          <w:sz w:val="28"/>
          <w:szCs w:val="28"/>
        </w:rPr>
        <w:t>二、募集资金使用情况</w:t>
      </w:r>
    </w:p>
    <w:p>
      <w:pPr>
        <w:ind w:firstLine="560" w:firstLineChars="200"/>
        <w:rPr>
          <w:rFonts w:eastAsia="仿宋"/>
          <w:sz w:val="28"/>
          <w:szCs w:val="28"/>
        </w:rPr>
      </w:pPr>
      <w:r>
        <w:rPr>
          <w:rFonts w:eastAsia="仿宋"/>
          <w:sz w:val="28"/>
          <w:szCs w:val="28"/>
        </w:rPr>
        <w:t>（一）募集资金基本情况</w:t>
      </w:r>
    </w:p>
    <w:p>
      <w:pPr>
        <w:ind w:firstLine="560" w:firstLineChars="200"/>
        <w:rPr>
          <w:rFonts w:eastAsia="仿宋"/>
          <w:sz w:val="28"/>
          <w:szCs w:val="28"/>
        </w:rPr>
      </w:pPr>
      <w:r>
        <w:rPr>
          <w:rFonts w:eastAsia="仿宋"/>
          <w:sz w:val="28"/>
          <w:szCs w:val="28"/>
        </w:rPr>
        <w:t>为规范募集资金的管理和使用，保护投资者的利益，根据法律、法规及证监会《上市公司监管指引第2号—上市公司募集资金管理和使用的监管要求》和《深圳证券交易所股票上市规则》等相关规定，公司对募集资金实行专项存储与使用管理，以保证专款专用。</w:t>
      </w:r>
    </w:p>
    <w:p>
      <w:pPr>
        <w:ind w:firstLine="560" w:firstLineChars="200"/>
        <w:rPr>
          <w:rFonts w:eastAsia="仿宋"/>
          <w:sz w:val="28"/>
          <w:szCs w:val="28"/>
        </w:rPr>
      </w:pPr>
      <w:r>
        <w:rPr>
          <w:rFonts w:eastAsia="仿宋"/>
          <w:sz w:val="28"/>
          <w:szCs w:val="28"/>
        </w:rPr>
        <w:t>公司及保荐</w:t>
      </w:r>
      <w:r>
        <w:rPr>
          <w:rFonts w:hint="eastAsia" w:eastAsia="仿宋"/>
          <w:sz w:val="28"/>
          <w:szCs w:val="28"/>
          <w:lang w:val="en-US" w:eastAsia="zh-CN"/>
        </w:rPr>
        <w:t>人</w:t>
      </w:r>
      <w:r>
        <w:rPr>
          <w:rFonts w:eastAsia="仿宋"/>
          <w:sz w:val="28"/>
          <w:szCs w:val="28"/>
        </w:rPr>
        <w:t>国信证券股份有限公司（以下简称“国信证券”）分别与中国工商银行股份有限公司长春南部都市经济开发区支行、中国建设银行股份有限公司长春工农大路支行和中国农业银行股份有限公司长春盛世城支行签署了《募集资金专户存储监管协议》，本次非公开发行股票募集资金已存放在上述募集资金专用账户。</w:t>
      </w:r>
    </w:p>
    <w:p>
      <w:pPr>
        <w:ind w:firstLine="560" w:firstLineChars="200"/>
        <w:rPr>
          <w:rFonts w:eastAsia="仿宋"/>
          <w:sz w:val="28"/>
          <w:szCs w:val="28"/>
        </w:rPr>
      </w:pPr>
      <w:r>
        <w:rPr>
          <w:rFonts w:eastAsia="仿宋"/>
          <w:sz w:val="28"/>
          <w:szCs w:val="28"/>
        </w:rPr>
        <w:t>公司和各募投项目公司及保荐</w:t>
      </w:r>
      <w:r>
        <w:rPr>
          <w:rFonts w:hint="eastAsia" w:eastAsia="仿宋"/>
          <w:sz w:val="28"/>
          <w:szCs w:val="28"/>
          <w:lang w:val="en-US" w:eastAsia="zh-CN"/>
        </w:rPr>
        <w:t>人</w:t>
      </w:r>
      <w:r>
        <w:rPr>
          <w:rFonts w:eastAsia="仿宋"/>
          <w:sz w:val="28"/>
          <w:szCs w:val="28"/>
        </w:rPr>
        <w:t>国信证券分别与中国农业银行股份有限公司滁州南谯支行、中国工商银行股份有限公司长春南大街支行、中国农业银行股份有限公司辉县市支行、中国建设银行股份有限公司西宁昆仑路支行签署了《募集资金专户存储监管协议》。</w:t>
      </w:r>
    </w:p>
    <w:p>
      <w:pPr>
        <w:ind w:firstLine="560" w:firstLineChars="200"/>
        <w:rPr>
          <w:rFonts w:eastAsia="仿宋"/>
          <w:sz w:val="28"/>
          <w:szCs w:val="28"/>
        </w:rPr>
      </w:pPr>
      <w:r>
        <w:rPr>
          <w:rFonts w:eastAsia="仿宋"/>
          <w:sz w:val="28"/>
          <w:szCs w:val="28"/>
        </w:rPr>
        <w:t>本次非公开发行股票的募投项目投资计划如下：</w:t>
      </w:r>
    </w:p>
    <w:tbl>
      <w:tblPr>
        <w:tblStyle w:val="1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8"/>
        <w:gridCol w:w="4693"/>
        <w:gridCol w:w="1877"/>
        <w:gridCol w:w="1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rPr>
            </w:pPr>
            <w:r>
              <w:rPr>
                <w:rFonts w:hint="default" w:ascii="Times New Roman" w:hAnsi="Times New Roman" w:cs="Times New Roman"/>
                <w:b/>
                <w:kern w:val="0"/>
              </w:rPr>
              <w:t>序号</w:t>
            </w:r>
          </w:p>
        </w:tc>
        <w:tc>
          <w:tcPr>
            <w:tcW w:w="4693"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rPr>
            </w:pPr>
            <w:r>
              <w:rPr>
                <w:rFonts w:hint="default" w:ascii="Times New Roman" w:hAnsi="Times New Roman" w:cs="Times New Roman"/>
                <w:b/>
                <w:kern w:val="0"/>
              </w:rPr>
              <w:t>募集资金项目</w:t>
            </w:r>
          </w:p>
        </w:tc>
        <w:tc>
          <w:tcPr>
            <w:tcW w:w="1877"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rPr>
            </w:pPr>
            <w:r>
              <w:rPr>
                <w:rFonts w:hint="default" w:ascii="Times New Roman" w:hAnsi="Times New Roman" w:cs="Times New Roman"/>
                <w:b/>
                <w:kern w:val="0"/>
              </w:rPr>
              <w:t>项目投资总金额</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rPr>
            </w:pPr>
            <w:r>
              <w:rPr>
                <w:rFonts w:hint="default" w:ascii="Times New Roman" w:hAnsi="Times New Roman" w:cs="Times New Roman"/>
                <w:b/>
                <w:kern w:val="0"/>
              </w:rPr>
              <w:t>（万元）</w:t>
            </w:r>
          </w:p>
        </w:tc>
        <w:tc>
          <w:tcPr>
            <w:tcW w:w="1701"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rPr>
            </w:pPr>
            <w:r>
              <w:rPr>
                <w:rFonts w:hint="default" w:ascii="Times New Roman" w:hAnsi="Times New Roman" w:cs="Times New Roman"/>
                <w:b/>
                <w:kern w:val="0"/>
              </w:rPr>
              <w:t>拟投入募集资金（万元）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1</w:t>
            </w:r>
          </w:p>
        </w:tc>
        <w:tc>
          <w:tcPr>
            <w:tcW w:w="4693"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安徽南谯常山风电场项目</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40,387</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30,999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2</w:t>
            </w:r>
          </w:p>
        </w:tc>
        <w:tc>
          <w:tcPr>
            <w:tcW w:w="4693"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青海诺木洪大格勒河东风电场一期工程</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39,290</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38,808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3</w:t>
            </w:r>
          </w:p>
        </w:tc>
        <w:tc>
          <w:tcPr>
            <w:tcW w:w="4693"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吉林长岭腰井子风电场二期工程</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39,523</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36,030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4</w:t>
            </w:r>
          </w:p>
        </w:tc>
        <w:tc>
          <w:tcPr>
            <w:tcW w:w="4693"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吉林长岭三十号风电场二期工程</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39,246</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35,374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5</w:t>
            </w:r>
          </w:p>
        </w:tc>
        <w:tc>
          <w:tcPr>
            <w:tcW w:w="4693"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河南省辉县市南旋风风电场工程</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83,928</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81,348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6</w:t>
            </w:r>
          </w:p>
        </w:tc>
        <w:tc>
          <w:tcPr>
            <w:tcW w:w="4693"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收购三塘湖99MW风电并网发电项目</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77,050</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23,114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7</w:t>
            </w:r>
          </w:p>
        </w:tc>
        <w:tc>
          <w:tcPr>
            <w:tcW w:w="4693" w:type="dxa"/>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收购陕西定边150MW并网光伏发电项目</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127,733</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38,320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8"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rPr>
            </w:pPr>
            <w:r>
              <w:rPr>
                <w:rFonts w:hint="default" w:ascii="Times New Roman" w:hAnsi="Times New Roman" w:cs="Times New Roman"/>
                <w:kern w:val="0"/>
              </w:rPr>
              <w:t>8</w:t>
            </w:r>
          </w:p>
        </w:tc>
        <w:tc>
          <w:tcPr>
            <w:tcW w:w="4693" w:type="dxa"/>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kern w:val="0"/>
              </w:rPr>
            </w:pPr>
            <w:r>
              <w:rPr>
                <w:rFonts w:hint="default" w:ascii="Times New Roman" w:hAnsi="Times New Roman" w:cs="Times New Roman"/>
                <w:kern w:val="0"/>
              </w:rPr>
              <w:t>补充流动资金</w:t>
            </w:r>
          </w:p>
        </w:tc>
        <w:tc>
          <w:tcPr>
            <w:tcW w:w="1877"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100,000</w:t>
            </w:r>
          </w:p>
        </w:tc>
        <w:tc>
          <w:tcPr>
            <w:tcW w:w="1701" w:type="dxa"/>
            <w:noWrap w:val="0"/>
            <w:vAlign w:val="center"/>
          </w:tcPr>
          <w:p>
            <w:pPr>
              <w:keepNext w:val="0"/>
              <w:keepLines w:val="0"/>
              <w:widowControl/>
              <w:suppressLineNumbers w:val="0"/>
              <w:spacing w:before="0" w:beforeAutospacing="0" w:after="0" w:afterAutospacing="0"/>
              <w:ind w:left="0" w:right="208" w:rightChars="99"/>
              <w:jc w:val="right"/>
              <w:rPr>
                <w:rFonts w:hint="default" w:ascii="Times New Roman" w:hAnsi="Times New Roman" w:cs="Times New Roman"/>
                <w:kern w:val="0"/>
              </w:rPr>
            </w:pPr>
            <w:r>
              <w:rPr>
                <w:rFonts w:hint="default" w:ascii="Times New Roman" w:hAnsi="Times New Roman" w:cs="Times New Roman"/>
                <w:kern w:val="0"/>
              </w:rPr>
              <w:t>100,000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5211" w:type="dxa"/>
            <w:gridSpan w:val="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kern w:val="0"/>
              </w:rPr>
            </w:pPr>
            <w:r>
              <w:rPr>
                <w:rFonts w:hint="default" w:ascii="Times New Roman" w:hAnsi="Times New Roman" w:cs="Times New Roman"/>
                <w:b/>
                <w:kern w:val="0"/>
              </w:rPr>
              <w:t>合   计</w:t>
            </w:r>
          </w:p>
        </w:tc>
        <w:tc>
          <w:tcPr>
            <w:tcW w:w="1877" w:type="dxa"/>
            <w:noWrap w:val="0"/>
            <w:vAlign w:val="center"/>
          </w:tcPr>
          <w:p>
            <w:pPr>
              <w:pStyle w:val="10"/>
              <w:keepNext w:val="0"/>
              <w:keepLines w:val="0"/>
              <w:suppressLineNumbers w:val="0"/>
              <w:spacing w:before="0" w:beforeAutospacing="0" w:after="0" w:afterAutospacing="0" w:line="240" w:lineRule="auto"/>
              <w:ind w:left="0" w:right="208" w:rightChars="99"/>
              <w:jc w:val="right"/>
              <w:rPr>
                <w:rFonts w:hint="default" w:ascii="Times New Roman" w:hAnsi="Times New Roman" w:eastAsia="宋体" w:cs="Times New Roman"/>
                <w:b/>
                <w:sz w:val="21"/>
                <w:lang w:bidi="ar-SA"/>
              </w:rPr>
            </w:pPr>
            <w:r>
              <w:rPr>
                <w:rFonts w:hint="default" w:ascii="Times New Roman" w:hAnsi="Times New Roman" w:eastAsia="宋体" w:cs="Times New Roman"/>
                <w:b/>
                <w:sz w:val="21"/>
                <w:lang w:bidi="ar-SA"/>
              </w:rPr>
              <w:t>547,157</w:t>
            </w:r>
          </w:p>
        </w:tc>
        <w:tc>
          <w:tcPr>
            <w:tcW w:w="1701" w:type="dxa"/>
            <w:noWrap w:val="0"/>
            <w:vAlign w:val="center"/>
          </w:tcPr>
          <w:p>
            <w:pPr>
              <w:pStyle w:val="10"/>
              <w:keepNext w:val="0"/>
              <w:keepLines w:val="0"/>
              <w:suppressLineNumbers w:val="0"/>
              <w:spacing w:before="0" w:beforeAutospacing="0" w:after="0" w:afterAutospacing="0" w:line="240" w:lineRule="auto"/>
              <w:ind w:left="0" w:right="208" w:rightChars="99"/>
              <w:jc w:val="right"/>
              <w:rPr>
                <w:rFonts w:hint="default" w:ascii="Times New Roman" w:hAnsi="Times New Roman" w:eastAsia="宋体" w:cs="Times New Roman"/>
                <w:b/>
                <w:sz w:val="21"/>
                <w:lang w:bidi="ar-SA"/>
              </w:rPr>
            </w:pPr>
            <w:r>
              <w:rPr>
                <w:rFonts w:hint="default" w:ascii="Times New Roman" w:hAnsi="Times New Roman" w:eastAsia="宋体" w:cs="Times New Roman"/>
                <w:b/>
                <w:sz w:val="21"/>
                <w:lang w:bidi="ar-SA"/>
              </w:rPr>
              <w:t>383,993</w:t>
            </w:r>
          </w:p>
        </w:tc>
      </w:tr>
    </w:tbl>
    <w:p>
      <w:pPr>
        <w:ind w:firstLine="560" w:firstLineChars="200"/>
        <w:rPr>
          <w:rFonts w:eastAsia="仿宋"/>
          <w:color w:val="000000"/>
          <w:kern w:val="0"/>
          <w:sz w:val="28"/>
          <w:szCs w:val="28"/>
        </w:rPr>
      </w:pPr>
      <w:r>
        <w:rPr>
          <w:rFonts w:eastAsia="仿宋"/>
          <w:color w:val="000000"/>
          <w:kern w:val="0"/>
          <w:sz w:val="28"/>
          <w:szCs w:val="28"/>
        </w:rPr>
        <w:t>上述项目的投资总额为547,157万元，本次募集资金将全部用于上述项目。如果本次非公开发行募集资金不能满足公司项目的资金需求，公司将利用自筹资金解决不足部分。本次非公开发行募集资金到位之前，公司将根据项目进度的实际情况以银行贷款、自有资金等自筹资金先行投入，并在募集资金到位后予以置换。</w:t>
      </w:r>
    </w:p>
    <w:p>
      <w:pPr>
        <w:ind w:firstLine="560" w:firstLineChars="200"/>
        <w:jc w:val="left"/>
        <w:rPr>
          <w:rFonts w:eastAsia="仿宋"/>
          <w:color w:val="000000"/>
          <w:kern w:val="0"/>
          <w:sz w:val="28"/>
          <w:szCs w:val="28"/>
        </w:rPr>
      </w:pPr>
      <w:r>
        <w:rPr>
          <w:rFonts w:eastAsia="仿宋"/>
          <w:color w:val="000000"/>
          <w:kern w:val="0"/>
          <w:sz w:val="28"/>
          <w:szCs w:val="28"/>
        </w:rPr>
        <w:t>（二）募集资金使用情况</w:t>
      </w:r>
    </w:p>
    <w:p>
      <w:pPr>
        <w:ind w:firstLine="645"/>
        <w:rPr>
          <w:rFonts w:eastAsia="仿宋"/>
          <w:sz w:val="28"/>
          <w:szCs w:val="28"/>
        </w:rPr>
      </w:pPr>
      <w:r>
        <w:rPr>
          <w:rFonts w:eastAsia="仿宋"/>
          <w:color w:val="000000"/>
          <w:kern w:val="0"/>
          <w:sz w:val="28"/>
          <w:szCs w:val="28"/>
        </w:rPr>
        <w:t>1.2016年12月26日，公司召开第七届董事会第七次会议和第七届监事会第四次会议，审议通过了</w:t>
      </w:r>
      <w:r>
        <w:rPr>
          <w:rFonts w:eastAsia="仿宋"/>
          <w:sz w:val="28"/>
          <w:szCs w:val="28"/>
        </w:rPr>
        <w:t>《关于使用募集资金置换预先己投入募投项目自筹资金的议案》，同意公司使用募集资金1,852,303,831.25元置换预先已投入募集资金投资项目的自筹资金。瑞华会计师事务所（特殊普通合伙）对公司预先投入募集资金投资项目情况进行了专项审核，并出具了《吉林电力股份有限公司以自筹资金预先投入募集资金投资项目情况报告的鉴证报告》（瑞华核字[2016]第24020009号）；保荐</w:t>
      </w:r>
      <w:r>
        <w:rPr>
          <w:rFonts w:hint="eastAsia" w:eastAsia="仿宋"/>
          <w:sz w:val="28"/>
          <w:szCs w:val="28"/>
          <w:lang w:val="en-US" w:eastAsia="zh-CN"/>
        </w:rPr>
        <w:t>人</w:t>
      </w:r>
      <w:r>
        <w:rPr>
          <w:rFonts w:eastAsia="仿宋"/>
          <w:sz w:val="28"/>
          <w:szCs w:val="28"/>
        </w:rPr>
        <w:t>国信证券对此进行了核查，并出具了《关于吉林电力股份有限公司以非公开发行股票募集资金置换预先投入募集资金投资项目自筹资金事项的核查意见》，同意公司以募集资金置换已预先投入募投项目</w:t>
      </w:r>
      <w:r>
        <w:rPr>
          <w:rFonts w:hint="eastAsia" w:eastAsia="仿宋"/>
          <w:sz w:val="28"/>
          <w:szCs w:val="28"/>
        </w:rPr>
        <w:t>的</w:t>
      </w:r>
      <w:r>
        <w:rPr>
          <w:rFonts w:eastAsia="仿宋"/>
          <w:sz w:val="28"/>
          <w:szCs w:val="28"/>
        </w:rPr>
        <w:t xml:space="preserve">自筹资金。公司独立董事对此事项发表了明确同意的独立意见。 </w:t>
      </w:r>
    </w:p>
    <w:p>
      <w:pPr>
        <w:ind w:firstLine="645"/>
        <w:rPr>
          <w:rFonts w:eastAsia="仿宋"/>
          <w:sz w:val="28"/>
          <w:szCs w:val="28"/>
        </w:rPr>
      </w:pPr>
      <w:r>
        <w:rPr>
          <w:rFonts w:eastAsia="仿宋"/>
          <w:color w:val="000000"/>
          <w:kern w:val="0"/>
          <w:sz w:val="28"/>
          <w:szCs w:val="28"/>
        </w:rPr>
        <w:t>2.</w:t>
      </w:r>
      <w:r>
        <w:rPr>
          <w:rFonts w:eastAsia="仿宋"/>
          <w:sz w:val="28"/>
          <w:szCs w:val="28"/>
        </w:rPr>
        <w:t xml:space="preserve"> 2017年6月12日，公司召开第七届董事会第十四次会议和第七届监事会第八次会议，审议通过了《</w:t>
      </w:r>
      <w:r>
        <w:rPr>
          <w:rFonts w:eastAsia="仿宋"/>
          <w:bCs/>
          <w:sz w:val="28"/>
          <w:szCs w:val="28"/>
        </w:rPr>
        <w:t>关于使用闲置募集资金购买理财产品的议案</w:t>
      </w:r>
      <w:r>
        <w:rPr>
          <w:rFonts w:eastAsia="仿宋"/>
          <w:sz w:val="28"/>
          <w:szCs w:val="28"/>
        </w:rPr>
        <w:t>》，在不影响募集资金投资计划正常进行和资金安全的前提下，同意公司使用额度合计不超过人民币76,000万元的闲置募集资金择机、分阶段购买安全性高、流动性好、保本型约定的银行等金融机构理财产品。在上述额度内，资金可以滚动使用。为控制风险，使用以上额度内资金购买的理财产品期限不得超过12个月，授权公司经营管理层具体实施相关事宜，</w:t>
      </w:r>
      <w:r>
        <w:rPr>
          <w:rFonts w:hint="eastAsia" w:eastAsia="仿宋"/>
          <w:sz w:val="28"/>
          <w:szCs w:val="28"/>
        </w:rPr>
        <w:t>授权</w:t>
      </w:r>
      <w:r>
        <w:rPr>
          <w:rFonts w:eastAsia="仿宋"/>
          <w:sz w:val="28"/>
          <w:szCs w:val="28"/>
        </w:rPr>
        <w:t>期限自董事会审议通过之日起一年。</w:t>
      </w:r>
      <w:r>
        <w:rPr>
          <w:rFonts w:eastAsia="仿宋"/>
          <w:color w:val="000000"/>
          <w:kern w:val="0"/>
          <w:sz w:val="28"/>
          <w:szCs w:val="28"/>
        </w:rPr>
        <w:t>国信证券对此进行了核查，出具了</w:t>
      </w:r>
      <w:r>
        <w:rPr>
          <w:rFonts w:hint="eastAsia" w:eastAsia="仿宋"/>
          <w:color w:val="000000"/>
          <w:kern w:val="0"/>
          <w:sz w:val="28"/>
          <w:szCs w:val="28"/>
        </w:rPr>
        <w:t>《</w:t>
      </w:r>
      <w:r>
        <w:rPr>
          <w:rFonts w:eastAsia="仿宋"/>
          <w:color w:val="000000"/>
          <w:kern w:val="0"/>
          <w:sz w:val="28"/>
          <w:szCs w:val="28"/>
        </w:rPr>
        <w:t>关于吉林电力股份有限公司使用闲置募集资金购买理财产品的核查意见</w:t>
      </w:r>
      <w:r>
        <w:rPr>
          <w:rFonts w:hint="eastAsia" w:eastAsia="仿宋"/>
          <w:color w:val="000000"/>
          <w:kern w:val="0"/>
          <w:sz w:val="28"/>
          <w:szCs w:val="28"/>
        </w:rPr>
        <w:t>》</w:t>
      </w:r>
      <w:r>
        <w:rPr>
          <w:rFonts w:eastAsia="仿宋"/>
          <w:color w:val="000000"/>
          <w:kern w:val="0"/>
          <w:sz w:val="28"/>
          <w:szCs w:val="28"/>
        </w:rPr>
        <w:t>。</w:t>
      </w:r>
      <w:r>
        <w:rPr>
          <w:rFonts w:eastAsia="仿宋"/>
          <w:sz w:val="28"/>
          <w:szCs w:val="28"/>
        </w:rPr>
        <w:t xml:space="preserve">公司独立董事对此事项发表了明确同意的独立意见。 </w:t>
      </w:r>
    </w:p>
    <w:p>
      <w:pPr>
        <w:ind w:firstLine="645"/>
        <w:rPr>
          <w:rFonts w:eastAsia="仿宋"/>
          <w:sz w:val="28"/>
          <w:szCs w:val="28"/>
        </w:rPr>
      </w:pPr>
      <w:r>
        <w:rPr>
          <w:rFonts w:eastAsia="仿宋"/>
          <w:sz w:val="28"/>
          <w:szCs w:val="28"/>
        </w:rPr>
        <w:t>3.2018年5月29日，公司召开第七届董事会第二十七次会议和第七届监事会第十四次会议，审议通过了《关于使用闲置募集资金进行暂时补充流动资金的议案》。同意在确保不影响募集资金投资项目建设进度的前提下，根据中国证监会《上市公司监管指引第2号——上市公司募集资金管理和使用的监管要求》、深圳证券交易所《深圳证券交易所主板上市公司规范运作指引（2015年修订）》和《吉林电力股份有限公司募集资金管理办法》等相关规定，使用额度合计不超过人民币43,400万元的闲置募集资金暂时补充流动资金。使用期限为董事会审议批准该议案之日起不超过12个月，到期前归还至募集资金专用账户；如果募集资金使用期限届满或募集资金使用进度加快时，公司将及时、足额地将该部分资金归还至募集资金专用账户，不会影响募集资金投资项目的正常实施。</w:t>
      </w:r>
      <w:r>
        <w:rPr>
          <w:rFonts w:eastAsia="仿宋"/>
          <w:color w:val="000000"/>
          <w:kern w:val="0"/>
          <w:sz w:val="28"/>
          <w:szCs w:val="28"/>
        </w:rPr>
        <w:t>国信证券对此进行了核查，出具了</w:t>
      </w:r>
      <w:r>
        <w:rPr>
          <w:rFonts w:hint="eastAsia" w:eastAsia="仿宋"/>
          <w:color w:val="000000"/>
          <w:kern w:val="0"/>
          <w:sz w:val="28"/>
          <w:szCs w:val="28"/>
        </w:rPr>
        <w:t>《</w:t>
      </w:r>
      <w:r>
        <w:rPr>
          <w:rFonts w:eastAsia="仿宋"/>
          <w:color w:val="000000"/>
          <w:kern w:val="0"/>
          <w:sz w:val="28"/>
          <w:szCs w:val="28"/>
        </w:rPr>
        <w:t>关于吉林电力股份有限公司使用闲置募集资金进行暂时补充流动资金的核查意见</w:t>
      </w:r>
      <w:r>
        <w:rPr>
          <w:rFonts w:hint="eastAsia" w:eastAsia="仿宋"/>
          <w:color w:val="000000"/>
          <w:kern w:val="0"/>
          <w:sz w:val="28"/>
          <w:szCs w:val="28"/>
        </w:rPr>
        <w:t>》</w:t>
      </w:r>
      <w:r>
        <w:rPr>
          <w:rFonts w:eastAsia="仿宋"/>
          <w:color w:val="000000"/>
          <w:kern w:val="0"/>
          <w:sz w:val="28"/>
          <w:szCs w:val="28"/>
        </w:rPr>
        <w:t>。</w:t>
      </w:r>
      <w:r>
        <w:rPr>
          <w:rFonts w:eastAsia="仿宋"/>
          <w:sz w:val="28"/>
          <w:szCs w:val="28"/>
        </w:rPr>
        <w:t xml:space="preserve">公司独立董事对此事项发表了明确同意的独立意见。 </w:t>
      </w:r>
    </w:p>
    <w:p>
      <w:pPr>
        <w:ind w:firstLine="645"/>
        <w:rPr>
          <w:rFonts w:eastAsia="仿宋"/>
          <w:sz w:val="28"/>
          <w:szCs w:val="28"/>
        </w:rPr>
      </w:pPr>
      <w:r>
        <w:rPr>
          <w:rFonts w:eastAsia="仿宋"/>
          <w:color w:val="000000"/>
          <w:kern w:val="0"/>
          <w:sz w:val="28"/>
          <w:szCs w:val="28"/>
        </w:rPr>
        <w:t>4.2019年4月29日，公司召开</w:t>
      </w:r>
      <w:r>
        <w:rPr>
          <w:rFonts w:eastAsia="仿宋"/>
          <w:sz w:val="28"/>
          <w:szCs w:val="28"/>
        </w:rPr>
        <w:t>第七届董事会第三十七次会议和第七届监事会第二十次会议，审议通过了《关于使用闲置募集资金进行暂时补充流动资金的议案》。同意在确保不影响募集资金投资项目建设进度的前提下，根据中国证监会《上市公司监管指引第2号——上市公司募集资金管理和使用的监管要求》、深圳证券交易所《深圳证券交易所主板上市公司规范运作指引（2015年修订）》和《吉林电力股份有限公司募集资金管理办法》等相关规定，使用额度合计不超过人民币37,479万元的闲置募集资金暂时补充流动资金。使用期限为董事会审议批准该议案之日起不超过12个月，到期前归还至募集资金专用账户；如果募集资金使用期限届满或募集资金使用进度加快时，公司将及时、足额地将该部分资金归还至募集资金专用账户，不会影响募集资金投资项目的正常实施。</w:t>
      </w:r>
      <w:r>
        <w:rPr>
          <w:rFonts w:eastAsia="仿宋"/>
          <w:color w:val="000000"/>
          <w:kern w:val="0"/>
          <w:sz w:val="28"/>
          <w:szCs w:val="28"/>
        </w:rPr>
        <w:t>国信证券对此进行了核查，出具了</w:t>
      </w:r>
      <w:r>
        <w:rPr>
          <w:rFonts w:hint="eastAsia" w:eastAsia="仿宋"/>
          <w:color w:val="000000"/>
          <w:kern w:val="0"/>
          <w:sz w:val="28"/>
          <w:szCs w:val="28"/>
        </w:rPr>
        <w:t>《</w:t>
      </w:r>
      <w:r>
        <w:rPr>
          <w:rFonts w:eastAsia="仿宋"/>
          <w:color w:val="000000"/>
          <w:kern w:val="0"/>
          <w:sz w:val="28"/>
          <w:szCs w:val="28"/>
        </w:rPr>
        <w:t>关于吉林电力股份有限公司使用闲置募集资金进行暂时补充流动资金的核查意见</w:t>
      </w:r>
      <w:r>
        <w:rPr>
          <w:rFonts w:hint="eastAsia" w:eastAsia="仿宋"/>
          <w:color w:val="000000"/>
          <w:kern w:val="0"/>
          <w:sz w:val="28"/>
          <w:szCs w:val="28"/>
        </w:rPr>
        <w:t>》</w:t>
      </w:r>
      <w:r>
        <w:rPr>
          <w:rFonts w:eastAsia="仿宋"/>
          <w:color w:val="000000"/>
          <w:kern w:val="0"/>
          <w:sz w:val="28"/>
          <w:szCs w:val="28"/>
        </w:rPr>
        <w:t>。</w:t>
      </w:r>
      <w:r>
        <w:rPr>
          <w:rFonts w:eastAsia="仿宋"/>
          <w:sz w:val="28"/>
          <w:szCs w:val="28"/>
        </w:rPr>
        <w:t xml:space="preserve">公司独立董事对此事项发表了明确同意的独立意见。 </w:t>
      </w:r>
    </w:p>
    <w:p>
      <w:pPr>
        <w:ind w:firstLine="645"/>
        <w:rPr>
          <w:rFonts w:eastAsia="仿宋"/>
          <w:sz w:val="28"/>
          <w:szCs w:val="28"/>
        </w:rPr>
      </w:pPr>
      <w:r>
        <w:rPr>
          <w:rFonts w:eastAsia="仿宋"/>
          <w:color w:val="000000"/>
          <w:kern w:val="0"/>
          <w:sz w:val="28"/>
          <w:szCs w:val="28"/>
        </w:rPr>
        <w:t>5.2020年4月28日，公司召开</w:t>
      </w:r>
      <w:r>
        <w:rPr>
          <w:rFonts w:eastAsia="仿宋"/>
          <w:sz w:val="28"/>
          <w:szCs w:val="28"/>
        </w:rPr>
        <w:t>第八届董事会第八次会议和第八届监事会第五次会议，审议通过了《关于使用闲置募集资金进行暂时补充流动资金的议案》。同意在确保不影响募集资金投资项目建设进度的前提下，使用额度合计不超过人民币33,302万元的闲置募集资金暂时补充流动资金。使用期限为董事会审议批准该议案之日起不超过12个月，到期前归还至募集资金专用账户。</w:t>
      </w:r>
      <w:r>
        <w:rPr>
          <w:rFonts w:eastAsia="仿宋"/>
          <w:color w:val="000000"/>
          <w:kern w:val="0"/>
          <w:sz w:val="28"/>
          <w:szCs w:val="28"/>
        </w:rPr>
        <w:t>国信证券对此进行了核查，出具了</w:t>
      </w:r>
      <w:r>
        <w:rPr>
          <w:rFonts w:hint="eastAsia" w:eastAsia="仿宋"/>
          <w:color w:val="000000"/>
          <w:kern w:val="0"/>
          <w:sz w:val="28"/>
          <w:szCs w:val="28"/>
        </w:rPr>
        <w:t>《</w:t>
      </w:r>
      <w:r>
        <w:rPr>
          <w:rFonts w:eastAsia="仿宋"/>
          <w:color w:val="000000"/>
          <w:kern w:val="0"/>
          <w:sz w:val="28"/>
          <w:szCs w:val="28"/>
        </w:rPr>
        <w:t>关于吉林电力股份有限公司使用闲置募集资金进行暂时补充流动资金的核查意见</w:t>
      </w:r>
      <w:r>
        <w:rPr>
          <w:rFonts w:hint="eastAsia" w:eastAsia="仿宋"/>
          <w:color w:val="000000"/>
          <w:kern w:val="0"/>
          <w:sz w:val="28"/>
          <w:szCs w:val="28"/>
        </w:rPr>
        <w:t>》</w:t>
      </w:r>
      <w:r>
        <w:rPr>
          <w:rFonts w:eastAsia="仿宋"/>
          <w:color w:val="000000"/>
          <w:kern w:val="0"/>
          <w:sz w:val="28"/>
          <w:szCs w:val="28"/>
        </w:rPr>
        <w:t>。</w:t>
      </w:r>
      <w:r>
        <w:rPr>
          <w:rFonts w:eastAsia="仿宋"/>
          <w:sz w:val="28"/>
          <w:szCs w:val="28"/>
        </w:rPr>
        <w:t>公司独立董事对此事项发表了明确同意的独立意见。</w:t>
      </w:r>
    </w:p>
    <w:p>
      <w:pPr>
        <w:ind w:firstLine="645"/>
        <w:rPr>
          <w:rFonts w:eastAsia="仿宋"/>
          <w:sz w:val="28"/>
          <w:szCs w:val="28"/>
        </w:rPr>
      </w:pPr>
      <w:r>
        <w:rPr>
          <w:rFonts w:hint="eastAsia" w:eastAsia="仿宋"/>
          <w:color w:val="000000"/>
          <w:kern w:val="0"/>
          <w:sz w:val="28"/>
          <w:szCs w:val="28"/>
        </w:rPr>
        <w:t>6</w:t>
      </w:r>
      <w:r>
        <w:rPr>
          <w:rFonts w:eastAsia="仿宋"/>
          <w:color w:val="000000"/>
          <w:kern w:val="0"/>
          <w:sz w:val="28"/>
          <w:szCs w:val="28"/>
        </w:rPr>
        <w:t>.202</w:t>
      </w:r>
      <w:r>
        <w:rPr>
          <w:rFonts w:hint="eastAsia" w:eastAsia="仿宋"/>
          <w:color w:val="000000"/>
          <w:kern w:val="0"/>
          <w:sz w:val="28"/>
          <w:szCs w:val="28"/>
        </w:rPr>
        <w:t>1</w:t>
      </w:r>
      <w:r>
        <w:rPr>
          <w:rFonts w:eastAsia="仿宋"/>
          <w:color w:val="000000"/>
          <w:kern w:val="0"/>
          <w:sz w:val="28"/>
          <w:szCs w:val="28"/>
        </w:rPr>
        <w:t>年4月2</w:t>
      </w:r>
      <w:r>
        <w:rPr>
          <w:rFonts w:hint="eastAsia" w:eastAsia="仿宋"/>
          <w:color w:val="000000"/>
          <w:kern w:val="0"/>
          <w:sz w:val="28"/>
          <w:szCs w:val="28"/>
        </w:rPr>
        <w:t>7</w:t>
      </w:r>
      <w:r>
        <w:rPr>
          <w:rFonts w:eastAsia="仿宋"/>
          <w:color w:val="000000"/>
          <w:kern w:val="0"/>
          <w:sz w:val="28"/>
          <w:szCs w:val="28"/>
        </w:rPr>
        <w:t>日，公司召开</w:t>
      </w:r>
      <w:r>
        <w:rPr>
          <w:rFonts w:eastAsia="仿宋"/>
          <w:sz w:val="28"/>
          <w:szCs w:val="28"/>
        </w:rPr>
        <w:t>第八届董事会第</w:t>
      </w:r>
      <w:r>
        <w:rPr>
          <w:rFonts w:hint="eastAsia" w:eastAsia="仿宋"/>
          <w:sz w:val="28"/>
          <w:szCs w:val="28"/>
        </w:rPr>
        <w:t>十八</w:t>
      </w:r>
      <w:r>
        <w:rPr>
          <w:rFonts w:eastAsia="仿宋"/>
          <w:sz w:val="28"/>
          <w:szCs w:val="28"/>
        </w:rPr>
        <w:t>次会议和第八届监事会第</w:t>
      </w:r>
      <w:r>
        <w:rPr>
          <w:rFonts w:hint="eastAsia" w:eastAsia="仿宋"/>
          <w:sz w:val="28"/>
          <w:szCs w:val="28"/>
        </w:rPr>
        <w:t>十一</w:t>
      </w:r>
      <w:r>
        <w:rPr>
          <w:rFonts w:eastAsia="仿宋"/>
          <w:sz w:val="28"/>
          <w:szCs w:val="28"/>
        </w:rPr>
        <w:t>次会议，审议通过了《关于使用闲置募集资金进行暂时补充流动资金的议案》。同意在确保不影响募集资金投资项目建设进度的前提下，使用额度合计不超过人民币</w:t>
      </w:r>
      <w:r>
        <w:rPr>
          <w:rFonts w:hint="eastAsia" w:eastAsia="仿宋"/>
          <w:sz w:val="28"/>
          <w:szCs w:val="28"/>
        </w:rPr>
        <w:t>27</w:t>
      </w:r>
      <w:r>
        <w:rPr>
          <w:rFonts w:eastAsia="仿宋"/>
          <w:sz w:val="28"/>
          <w:szCs w:val="28"/>
        </w:rPr>
        <w:t>,</w:t>
      </w:r>
      <w:r>
        <w:rPr>
          <w:rFonts w:hint="eastAsia" w:eastAsia="仿宋"/>
          <w:sz w:val="28"/>
          <w:szCs w:val="28"/>
        </w:rPr>
        <w:t>330</w:t>
      </w:r>
      <w:r>
        <w:rPr>
          <w:rFonts w:eastAsia="仿宋"/>
          <w:sz w:val="28"/>
          <w:szCs w:val="28"/>
        </w:rPr>
        <w:t>万元的闲置募集资金暂时补充流动资金。使用期限为董事会审议批准该议案之日起不超过12个月，到期前归还至募集资金专用账户。</w:t>
      </w:r>
      <w:r>
        <w:rPr>
          <w:rFonts w:eastAsia="仿宋"/>
          <w:color w:val="000000"/>
          <w:kern w:val="0"/>
          <w:sz w:val="28"/>
          <w:szCs w:val="28"/>
        </w:rPr>
        <w:t>国信证券对此进行了核查，出具了</w:t>
      </w:r>
      <w:r>
        <w:rPr>
          <w:rFonts w:hint="eastAsia" w:eastAsia="仿宋"/>
          <w:color w:val="000000"/>
          <w:kern w:val="0"/>
          <w:sz w:val="28"/>
          <w:szCs w:val="28"/>
        </w:rPr>
        <w:t>《</w:t>
      </w:r>
      <w:r>
        <w:rPr>
          <w:rFonts w:eastAsia="仿宋"/>
          <w:color w:val="000000"/>
          <w:kern w:val="0"/>
          <w:sz w:val="28"/>
          <w:szCs w:val="28"/>
        </w:rPr>
        <w:t>关于吉林电力股份有限公司使用闲置募集资金进行暂时补充流动资金的核查意见</w:t>
      </w:r>
      <w:r>
        <w:rPr>
          <w:rFonts w:hint="eastAsia" w:eastAsia="仿宋"/>
          <w:color w:val="000000"/>
          <w:kern w:val="0"/>
          <w:sz w:val="28"/>
          <w:szCs w:val="28"/>
        </w:rPr>
        <w:t>》</w:t>
      </w:r>
      <w:r>
        <w:rPr>
          <w:rFonts w:eastAsia="仿宋"/>
          <w:color w:val="000000"/>
          <w:kern w:val="0"/>
          <w:sz w:val="28"/>
          <w:szCs w:val="28"/>
        </w:rPr>
        <w:t>。</w:t>
      </w:r>
      <w:r>
        <w:rPr>
          <w:rFonts w:eastAsia="仿宋"/>
          <w:sz w:val="28"/>
          <w:szCs w:val="28"/>
        </w:rPr>
        <w:t xml:space="preserve">公司独立董事对此事项发表了明确同意的独立意见。 </w:t>
      </w:r>
    </w:p>
    <w:p>
      <w:pPr>
        <w:ind w:firstLine="645"/>
        <w:rPr>
          <w:rFonts w:eastAsia="仿宋"/>
          <w:sz w:val="28"/>
          <w:szCs w:val="28"/>
        </w:rPr>
      </w:pPr>
      <w:r>
        <w:rPr>
          <w:rFonts w:hint="eastAsia" w:eastAsia="仿宋"/>
          <w:color w:val="000000"/>
          <w:kern w:val="0"/>
          <w:sz w:val="28"/>
          <w:szCs w:val="28"/>
        </w:rPr>
        <w:t>7</w:t>
      </w:r>
      <w:r>
        <w:rPr>
          <w:rFonts w:eastAsia="仿宋"/>
          <w:color w:val="000000"/>
          <w:kern w:val="0"/>
          <w:sz w:val="28"/>
          <w:szCs w:val="28"/>
        </w:rPr>
        <w:t>.202</w:t>
      </w:r>
      <w:r>
        <w:rPr>
          <w:rFonts w:hint="eastAsia" w:eastAsia="仿宋"/>
          <w:color w:val="000000"/>
          <w:kern w:val="0"/>
          <w:sz w:val="28"/>
          <w:szCs w:val="28"/>
        </w:rPr>
        <w:t>2</w:t>
      </w:r>
      <w:r>
        <w:rPr>
          <w:rFonts w:eastAsia="仿宋"/>
          <w:color w:val="000000"/>
          <w:kern w:val="0"/>
          <w:sz w:val="28"/>
          <w:szCs w:val="28"/>
        </w:rPr>
        <w:t>年4月2</w:t>
      </w:r>
      <w:r>
        <w:rPr>
          <w:rFonts w:hint="eastAsia" w:eastAsia="仿宋"/>
          <w:color w:val="000000"/>
          <w:kern w:val="0"/>
          <w:sz w:val="28"/>
          <w:szCs w:val="28"/>
        </w:rPr>
        <w:t>7</w:t>
      </w:r>
      <w:r>
        <w:rPr>
          <w:rFonts w:eastAsia="仿宋"/>
          <w:color w:val="000000"/>
          <w:kern w:val="0"/>
          <w:sz w:val="28"/>
          <w:szCs w:val="28"/>
        </w:rPr>
        <w:t>日，公司召开</w:t>
      </w:r>
      <w:r>
        <w:rPr>
          <w:rFonts w:hint="eastAsia" w:eastAsia="仿宋"/>
          <w:sz w:val="28"/>
          <w:szCs w:val="28"/>
        </w:rPr>
        <w:t>第八届董事会第三十次会议</w:t>
      </w:r>
      <w:r>
        <w:rPr>
          <w:rFonts w:eastAsia="仿宋"/>
          <w:sz w:val="28"/>
          <w:szCs w:val="28"/>
        </w:rPr>
        <w:t>和</w:t>
      </w:r>
      <w:r>
        <w:rPr>
          <w:rFonts w:hint="eastAsia" w:eastAsia="仿宋"/>
          <w:sz w:val="28"/>
          <w:szCs w:val="28"/>
        </w:rPr>
        <w:t>第八届监事会第二十二次会议</w:t>
      </w:r>
      <w:r>
        <w:rPr>
          <w:rFonts w:eastAsia="仿宋"/>
          <w:sz w:val="28"/>
          <w:szCs w:val="28"/>
        </w:rPr>
        <w:t>，审议通过了《关于使用闲置募集资金进行暂时补充流动资金的议案》。同意在确保不影响募集资金投资项目建设进度的前提下，使用额度合计不超过人民币</w:t>
      </w:r>
      <w:r>
        <w:rPr>
          <w:rFonts w:hint="eastAsia" w:eastAsia="仿宋"/>
          <w:sz w:val="28"/>
          <w:szCs w:val="28"/>
        </w:rPr>
        <w:t>24</w:t>
      </w:r>
      <w:r>
        <w:rPr>
          <w:rFonts w:eastAsia="仿宋"/>
          <w:sz w:val="28"/>
          <w:szCs w:val="28"/>
        </w:rPr>
        <w:t>,</w:t>
      </w:r>
      <w:r>
        <w:rPr>
          <w:rFonts w:hint="eastAsia" w:eastAsia="仿宋"/>
          <w:sz w:val="28"/>
          <w:szCs w:val="28"/>
        </w:rPr>
        <w:t>000</w:t>
      </w:r>
      <w:r>
        <w:rPr>
          <w:rFonts w:eastAsia="仿宋"/>
          <w:sz w:val="28"/>
          <w:szCs w:val="28"/>
        </w:rPr>
        <w:t>万元的闲置募集资金暂时补充流动资金。使用期限为董事会审议批准该议案之日起不超过12个月，到期前归还至募集资金专用账户。</w:t>
      </w:r>
      <w:r>
        <w:rPr>
          <w:rFonts w:eastAsia="仿宋"/>
          <w:color w:val="000000"/>
          <w:kern w:val="0"/>
          <w:sz w:val="28"/>
          <w:szCs w:val="28"/>
        </w:rPr>
        <w:t>国信证券对此进行了核查，出具了</w:t>
      </w:r>
      <w:r>
        <w:rPr>
          <w:rFonts w:hint="eastAsia" w:eastAsia="仿宋"/>
          <w:color w:val="000000"/>
          <w:kern w:val="0"/>
          <w:sz w:val="28"/>
          <w:szCs w:val="28"/>
        </w:rPr>
        <w:t>《</w:t>
      </w:r>
      <w:r>
        <w:rPr>
          <w:rFonts w:eastAsia="仿宋"/>
          <w:color w:val="000000"/>
          <w:kern w:val="0"/>
          <w:sz w:val="28"/>
          <w:szCs w:val="28"/>
        </w:rPr>
        <w:t>关于吉林电力股份有限公司使用闲置募集资金进行暂时补充流动资金的核查意见</w:t>
      </w:r>
      <w:r>
        <w:rPr>
          <w:rFonts w:hint="eastAsia" w:eastAsia="仿宋"/>
          <w:color w:val="000000"/>
          <w:kern w:val="0"/>
          <w:sz w:val="28"/>
          <w:szCs w:val="28"/>
        </w:rPr>
        <w:t>》</w:t>
      </w:r>
      <w:r>
        <w:rPr>
          <w:rFonts w:eastAsia="仿宋"/>
          <w:color w:val="000000"/>
          <w:kern w:val="0"/>
          <w:sz w:val="28"/>
          <w:szCs w:val="28"/>
        </w:rPr>
        <w:t>。</w:t>
      </w:r>
      <w:r>
        <w:rPr>
          <w:rFonts w:eastAsia="仿宋"/>
          <w:sz w:val="28"/>
          <w:szCs w:val="28"/>
        </w:rPr>
        <w:t xml:space="preserve">公司独立董事对此事项发表了明确同意的独立意见。 </w:t>
      </w:r>
    </w:p>
    <w:p>
      <w:pPr>
        <w:ind w:firstLine="645"/>
        <w:rPr>
          <w:rFonts w:eastAsia="仿宋"/>
          <w:sz w:val="28"/>
          <w:szCs w:val="28"/>
        </w:rPr>
      </w:pPr>
      <w:r>
        <w:rPr>
          <w:rFonts w:hint="eastAsia" w:eastAsia="仿宋"/>
          <w:color w:val="000000"/>
          <w:kern w:val="0"/>
          <w:sz w:val="28"/>
          <w:szCs w:val="28"/>
        </w:rPr>
        <w:t>8</w:t>
      </w:r>
      <w:r>
        <w:rPr>
          <w:rFonts w:eastAsia="仿宋"/>
          <w:color w:val="000000"/>
          <w:kern w:val="0"/>
          <w:sz w:val="28"/>
          <w:szCs w:val="28"/>
        </w:rPr>
        <w:t>.202</w:t>
      </w:r>
      <w:r>
        <w:rPr>
          <w:rFonts w:hint="eastAsia" w:eastAsia="仿宋"/>
          <w:color w:val="000000"/>
          <w:kern w:val="0"/>
          <w:sz w:val="28"/>
          <w:szCs w:val="28"/>
        </w:rPr>
        <w:t>3</w:t>
      </w:r>
      <w:r>
        <w:rPr>
          <w:rFonts w:eastAsia="仿宋"/>
          <w:color w:val="000000"/>
          <w:kern w:val="0"/>
          <w:sz w:val="28"/>
          <w:szCs w:val="28"/>
        </w:rPr>
        <w:t>年4月2</w:t>
      </w:r>
      <w:r>
        <w:rPr>
          <w:rFonts w:hint="eastAsia" w:eastAsia="仿宋"/>
          <w:color w:val="000000"/>
          <w:kern w:val="0"/>
          <w:sz w:val="28"/>
          <w:szCs w:val="28"/>
        </w:rPr>
        <w:t>6</w:t>
      </w:r>
      <w:r>
        <w:rPr>
          <w:rFonts w:eastAsia="仿宋"/>
          <w:color w:val="000000"/>
          <w:kern w:val="0"/>
          <w:sz w:val="28"/>
          <w:szCs w:val="28"/>
        </w:rPr>
        <w:t>日，公司召开</w:t>
      </w:r>
      <w:r>
        <w:rPr>
          <w:rFonts w:eastAsia="仿宋"/>
          <w:sz w:val="28"/>
          <w:szCs w:val="28"/>
        </w:rPr>
        <w:t>第</w:t>
      </w:r>
      <w:r>
        <w:rPr>
          <w:rFonts w:hint="eastAsia" w:eastAsia="仿宋"/>
          <w:sz w:val="28"/>
          <w:szCs w:val="28"/>
        </w:rPr>
        <w:t>九</w:t>
      </w:r>
      <w:r>
        <w:rPr>
          <w:rFonts w:eastAsia="仿宋"/>
          <w:sz w:val="28"/>
          <w:szCs w:val="28"/>
        </w:rPr>
        <w:t>届董事会第</w:t>
      </w:r>
      <w:r>
        <w:rPr>
          <w:rFonts w:hint="eastAsia" w:eastAsia="仿宋"/>
          <w:sz w:val="28"/>
          <w:szCs w:val="28"/>
        </w:rPr>
        <w:t>七</w:t>
      </w:r>
      <w:r>
        <w:rPr>
          <w:rFonts w:eastAsia="仿宋"/>
          <w:sz w:val="28"/>
          <w:szCs w:val="28"/>
        </w:rPr>
        <w:t>次会议和</w:t>
      </w:r>
      <w:r>
        <w:rPr>
          <w:rFonts w:hint="eastAsia" w:eastAsia="仿宋"/>
          <w:sz w:val="28"/>
          <w:szCs w:val="28"/>
        </w:rPr>
        <w:t>公司第九届监事会第五次会</w:t>
      </w:r>
      <w:r>
        <w:rPr>
          <w:rFonts w:eastAsia="仿宋"/>
          <w:sz w:val="28"/>
          <w:szCs w:val="28"/>
        </w:rPr>
        <w:t>议，审议通过了《关于使用闲置募集资金进行暂时补充流动资金的议案》。同意在确保不影响募集资金投资项目建设进度的前提下，使用额度合计不超过人民币</w:t>
      </w:r>
      <w:r>
        <w:rPr>
          <w:rFonts w:hint="eastAsia" w:eastAsia="仿宋"/>
          <w:sz w:val="28"/>
          <w:szCs w:val="28"/>
        </w:rPr>
        <w:t>23</w:t>
      </w:r>
      <w:r>
        <w:rPr>
          <w:rFonts w:eastAsia="仿宋"/>
          <w:sz w:val="28"/>
          <w:szCs w:val="28"/>
        </w:rPr>
        <w:t>,</w:t>
      </w:r>
      <w:r>
        <w:rPr>
          <w:rFonts w:hint="eastAsia" w:eastAsia="仿宋"/>
          <w:sz w:val="28"/>
          <w:szCs w:val="28"/>
        </w:rPr>
        <w:t>600</w:t>
      </w:r>
      <w:r>
        <w:rPr>
          <w:rFonts w:eastAsia="仿宋"/>
          <w:sz w:val="28"/>
          <w:szCs w:val="28"/>
        </w:rPr>
        <w:t>万元的闲置募集资金暂时补充流动资金。使用期限为董事会审议批准该议案之日起不超过12个月，到期前归还至募集资金专用账户。</w:t>
      </w:r>
      <w:r>
        <w:rPr>
          <w:rFonts w:eastAsia="仿宋"/>
          <w:color w:val="000000"/>
          <w:kern w:val="0"/>
          <w:sz w:val="28"/>
          <w:szCs w:val="28"/>
        </w:rPr>
        <w:t>国信证券对此进行了核查，出具了</w:t>
      </w:r>
      <w:r>
        <w:rPr>
          <w:rFonts w:hint="eastAsia" w:eastAsia="仿宋"/>
          <w:color w:val="000000"/>
          <w:kern w:val="0"/>
          <w:sz w:val="28"/>
          <w:szCs w:val="28"/>
        </w:rPr>
        <w:t>《</w:t>
      </w:r>
      <w:r>
        <w:rPr>
          <w:rFonts w:eastAsia="仿宋"/>
          <w:color w:val="000000"/>
          <w:kern w:val="0"/>
          <w:sz w:val="28"/>
          <w:szCs w:val="28"/>
        </w:rPr>
        <w:t>关于吉林电力股份有限公司使用闲置募集资金进行暂时补充流动资金的核查意见</w:t>
      </w:r>
      <w:r>
        <w:rPr>
          <w:rFonts w:hint="eastAsia" w:eastAsia="仿宋"/>
          <w:color w:val="000000"/>
          <w:kern w:val="0"/>
          <w:sz w:val="28"/>
          <w:szCs w:val="28"/>
        </w:rPr>
        <w:t>》</w:t>
      </w:r>
      <w:r>
        <w:rPr>
          <w:rFonts w:eastAsia="仿宋"/>
          <w:color w:val="000000"/>
          <w:kern w:val="0"/>
          <w:sz w:val="28"/>
          <w:szCs w:val="28"/>
        </w:rPr>
        <w:t>。</w:t>
      </w:r>
      <w:r>
        <w:rPr>
          <w:rFonts w:eastAsia="仿宋"/>
          <w:sz w:val="28"/>
          <w:szCs w:val="28"/>
        </w:rPr>
        <w:t>公司独立董事对此事项发表了明确同意的独立意见。</w:t>
      </w:r>
    </w:p>
    <w:p>
      <w:pPr>
        <w:autoSpaceDE w:val="0"/>
        <w:autoSpaceDN w:val="0"/>
        <w:adjustRightInd w:val="0"/>
        <w:ind w:firstLine="420" w:firstLineChars="150"/>
        <w:jc w:val="left"/>
        <w:rPr>
          <w:rFonts w:eastAsia="仿宋"/>
          <w:color w:val="000000"/>
          <w:kern w:val="0"/>
          <w:sz w:val="28"/>
          <w:szCs w:val="28"/>
        </w:rPr>
      </w:pPr>
      <w:r>
        <w:rPr>
          <w:rFonts w:hint="eastAsia" w:eastAsia="仿宋"/>
          <w:color w:val="000000"/>
          <w:kern w:val="0"/>
          <w:sz w:val="28"/>
          <w:szCs w:val="28"/>
        </w:rPr>
        <w:t>9</w:t>
      </w:r>
      <w:r>
        <w:rPr>
          <w:rFonts w:eastAsia="仿宋"/>
          <w:color w:val="000000"/>
          <w:kern w:val="0"/>
          <w:sz w:val="28"/>
          <w:szCs w:val="28"/>
        </w:rPr>
        <w:t>.截至202</w:t>
      </w:r>
      <w:r>
        <w:rPr>
          <w:rFonts w:hint="eastAsia" w:eastAsia="仿宋"/>
          <w:color w:val="000000"/>
          <w:kern w:val="0"/>
          <w:sz w:val="28"/>
          <w:szCs w:val="28"/>
        </w:rPr>
        <w:t>4</w:t>
      </w:r>
      <w:r>
        <w:rPr>
          <w:rFonts w:eastAsia="仿宋"/>
          <w:color w:val="000000"/>
          <w:kern w:val="0"/>
          <w:sz w:val="28"/>
          <w:szCs w:val="28"/>
        </w:rPr>
        <w:t>年3月31日，公司募集资金结余金额2</w:t>
      </w:r>
      <w:r>
        <w:rPr>
          <w:rFonts w:hint="eastAsia" w:eastAsia="仿宋"/>
          <w:color w:val="000000"/>
          <w:kern w:val="0"/>
          <w:sz w:val="28"/>
          <w:szCs w:val="28"/>
        </w:rPr>
        <w:t>0</w:t>
      </w:r>
      <w:r>
        <w:rPr>
          <w:rFonts w:eastAsia="仿宋"/>
          <w:color w:val="000000"/>
          <w:kern w:val="0"/>
          <w:sz w:val="28"/>
          <w:szCs w:val="28"/>
        </w:rPr>
        <w:t>,</w:t>
      </w:r>
      <w:r>
        <w:rPr>
          <w:rFonts w:hint="eastAsia" w:eastAsia="仿宋"/>
          <w:color w:val="000000"/>
          <w:kern w:val="0"/>
          <w:sz w:val="28"/>
          <w:szCs w:val="28"/>
        </w:rPr>
        <w:t>745</w:t>
      </w:r>
      <w:r>
        <w:rPr>
          <w:rFonts w:eastAsia="仿宋"/>
          <w:color w:val="000000"/>
          <w:kern w:val="0"/>
          <w:sz w:val="28"/>
          <w:szCs w:val="28"/>
        </w:rPr>
        <w:t xml:space="preserve">万元。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2312"/>
        <w:gridCol w:w="1208"/>
        <w:gridCol w:w="1311"/>
        <w:gridCol w:w="1573"/>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1928" w:firstLineChars="600"/>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闲置募集资金使用情况和支付计划表</w:t>
            </w:r>
          </w:p>
          <w:p>
            <w:pPr>
              <w:keepNext w:val="0"/>
              <w:keepLines w:val="0"/>
              <w:suppressLineNumbers w:val="0"/>
              <w:spacing w:before="0" w:beforeAutospacing="0" w:after="0" w:afterAutospacing="0"/>
              <w:ind w:left="0" w:right="0" w:firstLine="400" w:firstLineChars="200"/>
              <w:jc w:val="righ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67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序号</w:t>
            </w:r>
          </w:p>
        </w:tc>
        <w:tc>
          <w:tcPr>
            <w:tcW w:w="23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募投项目</w:t>
            </w:r>
          </w:p>
        </w:tc>
        <w:tc>
          <w:tcPr>
            <w:tcW w:w="120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募集资金承诺投资总额</w:t>
            </w:r>
          </w:p>
        </w:tc>
        <w:tc>
          <w:tcPr>
            <w:tcW w:w="28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40" w:firstLineChars="20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截至3月末余额</w:t>
            </w:r>
          </w:p>
        </w:tc>
        <w:tc>
          <w:tcPr>
            <w:tcW w:w="144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拟可使用暂时补流资金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67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2"/>
                <w:szCs w:val="21"/>
              </w:rPr>
            </w:pPr>
          </w:p>
        </w:tc>
        <w:tc>
          <w:tcPr>
            <w:tcW w:w="23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2"/>
                <w:szCs w:val="21"/>
              </w:rPr>
            </w:pPr>
          </w:p>
        </w:tc>
        <w:tc>
          <w:tcPr>
            <w:tcW w:w="120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2"/>
                <w:szCs w:val="21"/>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220" w:right="0" w:hanging="220" w:hangingChars="10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募集资</w:t>
            </w:r>
          </w:p>
          <w:p>
            <w:pPr>
              <w:keepNext w:val="0"/>
              <w:keepLines w:val="0"/>
              <w:suppressLineNumbers w:val="0"/>
              <w:spacing w:before="0" w:beforeAutospacing="0" w:after="0" w:afterAutospacing="0"/>
              <w:ind w:left="220" w:right="0" w:hanging="220" w:hangingChars="10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金余额</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其中购买理财收益及利息收入</w:t>
            </w:r>
          </w:p>
        </w:tc>
        <w:tc>
          <w:tcPr>
            <w:tcW w:w="144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1</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河南省辉县市南旋风风电场工程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仿宋" w:hAnsi="仿宋" w:eastAsia="仿宋" w:cs="仿宋"/>
              </w:rPr>
              <w:t>81,348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eastAsia" w:ascii="仿宋" w:hAnsi="仿宋" w:eastAsia="仿宋" w:cs="仿宋"/>
              </w:rPr>
              <w:t>11,759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rPr>
            </w:pPr>
            <w:r>
              <w:rPr>
                <w:rFonts w:hint="eastAsia" w:ascii="仿宋" w:hAnsi="仿宋" w:eastAsia="仿宋" w:cs="仿宋"/>
              </w:rPr>
              <w:t>2,321</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eastAsia" w:ascii="仿宋" w:hAnsi="仿宋" w:eastAsia="仿宋" w:cs="仿宋"/>
              </w:rPr>
              <w:t>11,759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2</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安徽南谯常山风电场项目</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仿宋" w:hAnsi="仿宋" w:eastAsia="仿宋" w:cs="仿宋"/>
              </w:rPr>
              <w:t>30,999</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2"/>
                <w:szCs w:val="21"/>
              </w:rPr>
            </w:pPr>
            <w:r>
              <w:rPr>
                <w:rFonts w:hint="eastAsia" w:ascii="仿宋" w:hAnsi="仿宋" w:eastAsia="仿宋" w:cs="仿宋"/>
              </w:rPr>
              <w:t>2,669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仿宋" w:hAnsi="仿宋" w:eastAsia="仿宋" w:cs="仿宋"/>
              </w:rPr>
              <w:t>156</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2"/>
                <w:szCs w:val="21"/>
              </w:rPr>
            </w:pPr>
            <w:r>
              <w:rPr>
                <w:rFonts w:hint="eastAsia" w:ascii="仿宋" w:hAnsi="仿宋" w:eastAsia="仿宋" w:cs="仿宋"/>
              </w:rPr>
              <w:t>2,669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3</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吉林长岭腰井子风电场二期工程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仿宋" w:hAnsi="仿宋" w:eastAsia="仿宋" w:cs="仿宋"/>
              </w:rPr>
              <w:t>36,030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2"/>
                <w:szCs w:val="21"/>
              </w:rPr>
            </w:pPr>
            <w:r>
              <w:rPr>
                <w:rFonts w:hint="eastAsia" w:ascii="仿宋" w:hAnsi="仿宋" w:eastAsia="仿宋" w:cs="仿宋"/>
              </w:rPr>
              <w:t>3,331</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仿宋" w:hAnsi="仿宋" w:eastAsia="仿宋" w:cs="仿宋"/>
              </w:rPr>
              <w:t>262</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2"/>
                <w:szCs w:val="21"/>
              </w:rPr>
            </w:pPr>
            <w:r>
              <w:rPr>
                <w:rFonts w:hint="eastAsia" w:ascii="仿宋" w:hAnsi="仿宋" w:eastAsia="仿宋" w:cs="仿宋"/>
              </w:rPr>
              <w:t>3,331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4</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吉林长岭三十号风电场二期工程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仿宋" w:hAnsi="仿宋" w:eastAsia="仿宋" w:cs="仿宋"/>
              </w:rPr>
              <w:t>35,374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2"/>
                <w:szCs w:val="21"/>
              </w:rPr>
            </w:pPr>
            <w:r>
              <w:rPr>
                <w:rFonts w:hint="eastAsia" w:ascii="仿宋" w:hAnsi="仿宋" w:eastAsia="仿宋" w:cs="仿宋"/>
              </w:rPr>
              <w:t>2,833</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仿宋" w:hAnsi="仿宋" w:eastAsia="仿宋" w:cs="仿宋"/>
              </w:rPr>
              <w:t>141</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sz w:val="22"/>
                <w:szCs w:val="21"/>
              </w:rPr>
            </w:pPr>
            <w:r>
              <w:rPr>
                <w:rFonts w:hint="eastAsia" w:ascii="仿宋" w:hAnsi="仿宋" w:eastAsia="仿宋" w:cs="仿宋"/>
              </w:rPr>
              <w:t>2,833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5</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青海诺木洪大格勒河东风电场一期工程</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仿宋" w:hAnsi="仿宋" w:eastAsia="仿宋" w:cs="仿宋"/>
              </w:rPr>
              <w:t>38,808</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eastAsia" w:ascii="仿宋" w:hAnsi="仿宋" w:eastAsia="仿宋" w:cs="仿宋"/>
              </w:rPr>
              <w:t>119</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rPr>
            </w:pPr>
            <w:r>
              <w:rPr>
                <w:rFonts w:hint="eastAsia" w:ascii="仿宋" w:hAnsi="仿宋" w:eastAsia="仿宋" w:cs="仿宋"/>
              </w:rPr>
              <w:t>185</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eastAsia" w:ascii="仿宋" w:hAnsi="仿宋" w:eastAsia="仿宋" w:cs="仿宋"/>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6</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收购三塘湖99MW风电并网发电项目</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 w:cs="Times New Roman"/>
                <w:color w:val="000000"/>
                <w:szCs w:val="21"/>
              </w:rPr>
            </w:pPr>
            <w:r>
              <w:rPr>
                <w:rFonts w:hint="default" w:ascii="仿宋" w:hAnsi="仿宋" w:eastAsia="仿宋" w:cs="仿宋"/>
              </w:rPr>
              <w:t>23,114</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1"/>
              </w:rPr>
            </w:pPr>
            <w:r>
              <w:rPr>
                <w:rFonts w:hint="default" w:ascii="Times New Roman" w:hAnsi="Times New Roman" w:cs="Times New Roman"/>
                <w:color w:val="000000"/>
                <w:sz w:val="22"/>
                <w:szCs w:val="22"/>
              </w:rPr>
              <w:t>收购陕西定边150MW并网光伏发电项目</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Cs w:val="21"/>
              </w:rPr>
            </w:pPr>
            <w:r>
              <w:rPr>
                <w:rFonts w:hint="default" w:ascii="仿宋" w:hAnsi="仿宋" w:eastAsia="仿宋" w:cs="仿宋"/>
              </w:rPr>
              <w:t>38,320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0</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0</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补充流动资金</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cs="Times New Roman"/>
                <w:color w:val="000000"/>
              </w:rPr>
            </w:pPr>
            <w:r>
              <w:rPr>
                <w:rFonts w:hint="default" w:ascii="Times New Roman" w:hAnsi="Times New Roman" w:eastAsia="仿宋" w:cs="Times New Roman"/>
                <w:color w:val="000000"/>
                <w:kern w:val="0"/>
                <w:szCs w:val="21"/>
              </w:rPr>
              <w:t>100,000</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34</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91</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rPr>
            </w:pPr>
            <w:r>
              <w:rPr>
                <w:rFonts w:hint="eastAsia" w:ascii="仿宋" w:hAnsi="仿宋" w:eastAsia="仿宋" w:cs="仿宋"/>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000000"/>
                <w:sz w:val="22"/>
                <w:szCs w:val="21"/>
              </w:rPr>
            </w:pPr>
            <w:r>
              <w:rPr>
                <w:rFonts w:hint="default" w:ascii="Times New Roman" w:hAnsi="Times New Roman" w:cs="Times New Roman"/>
                <w:b/>
                <w:bCs/>
                <w:color w:val="000000"/>
                <w:sz w:val="22"/>
                <w:szCs w:val="22"/>
              </w:rPr>
              <w:t>合计</w:t>
            </w:r>
          </w:p>
        </w:tc>
        <w:tc>
          <w:tcPr>
            <w:tcW w:w="23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firstLine="440" w:firstLineChars="200"/>
              <w:jc w:val="center"/>
              <w:rPr>
                <w:rFonts w:hint="default" w:ascii="Times New Roman" w:hAnsi="Times New Roman" w:cs="Times New Roman"/>
                <w:color w:val="000000"/>
                <w:sz w:val="22"/>
                <w:szCs w:val="21"/>
              </w:rPr>
            </w:pP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383,993</w:t>
            </w:r>
          </w:p>
        </w:tc>
        <w:tc>
          <w:tcPr>
            <w:tcW w:w="1311"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20,745</w:t>
            </w:r>
          </w:p>
        </w:tc>
        <w:tc>
          <w:tcPr>
            <w:tcW w:w="157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3,156</w:t>
            </w:r>
          </w:p>
        </w:tc>
        <w:tc>
          <w:tcPr>
            <w:tcW w:w="1445"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20,745</w:t>
            </w:r>
          </w:p>
        </w:tc>
      </w:tr>
    </w:tbl>
    <w:p>
      <w:pPr>
        <w:ind w:firstLine="562" w:firstLineChars="200"/>
        <w:jc w:val="left"/>
        <w:rPr>
          <w:rFonts w:eastAsia="仿宋"/>
          <w:b/>
          <w:color w:val="000000"/>
          <w:kern w:val="0"/>
          <w:sz w:val="28"/>
          <w:szCs w:val="28"/>
        </w:rPr>
      </w:pPr>
      <w:r>
        <w:rPr>
          <w:rFonts w:eastAsia="仿宋"/>
          <w:b/>
          <w:color w:val="000000"/>
          <w:kern w:val="0"/>
          <w:sz w:val="28"/>
          <w:szCs w:val="28"/>
        </w:rPr>
        <w:t>三、闲置募集资金暂时补充流动资金的金额及期限</w:t>
      </w:r>
    </w:p>
    <w:p>
      <w:pPr>
        <w:ind w:firstLine="560" w:firstLineChars="200"/>
        <w:jc w:val="left"/>
        <w:rPr>
          <w:rFonts w:eastAsia="仿宋_GB2312"/>
          <w:color w:val="000000"/>
          <w:kern w:val="0"/>
          <w:sz w:val="28"/>
          <w:szCs w:val="28"/>
        </w:rPr>
      </w:pPr>
      <w:r>
        <w:rPr>
          <w:rFonts w:eastAsia="仿宋"/>
          <w:sz w:val="28"/>
          <w:szCs w:val="28"/>
        </w:rPr>
        <w:t>在确保不影响募</w:t>
      </w:r>
      <w:r>
        <w:rPr>
          <w:rFonts w:hint="eastAsia" w:eastAsia="仿宋"/>
          <w:sz w:val="28"/>
          <w:szCs w:val="28"/>
        </w:rPr>
        <w:t>投</w:t>
      </w:r>
      <w:r>
        <w:rPr>
          <w:rFonts w:eastAsia="仿宋"/>
          <w:sz w:val="28"/>
          <w:szCs w:val="28"/>
        </w:rPr>
        <w:t>项目建设和募集资金使用的前提下，</w:t>
      </w:r>
      <w:r>
        <w:rPr>
          <w:rFonts w:eastAsia="仿宋"/>
          <w:color w:val="000000"/>
          <w:kern w:val="0"/>
          <w:sz w:val="28"/>
          <w:szCs w:val="28"/>
        </w:rPr>
        <w:t>公司使用</w:t>
      </w:r>
      <w:r>
        <w:rPr>
          <w:rFonts w:hint="eastAsia" w:eastAsia="仿宋"/>
          <w:color w:val="000000"/>
          <w:kern w:val="0"/>
          <w:sz w:val="28"/>
          <w:szCs w:val="28"/>
        </w:rPr>
        <w:t>不超过</w:t>
      </w:r>
      <w:r>
        <w:rPr>
          <w:rFonts w:eastAsia="仿宋"/>
          <w:color w:val="000000"/>
          <w:kern w:val="0"/>
          <w:sz w:val="28"/>
          <w:szCs w:val="28"/>
        </w:rPr>
        <w:t>2</w:t>
      </w:r>
      <w:r>
        <w:rPr>
          <w:rFonts w:hint="eastAsia" w:eastAsia="仿宋"/>
          <w:color w:val="000000"/>
          <w:kern w:val="0"/>
          <w:sz w:val="28"/>
          <w:szCs w:val="28"/>
        </w:rPr>
        <w:t>0</w:t>
      </w:r>
      <w:r>
        <w:rPr>
          <w:rFonts w:eastAsia="仿宋"/>
          <w:color w:val="000000"/>
          <w:kern w:val="0"/>
          <w:sz w:val="28"/>
          <w:szCs w:val="28"/>
        </w:rPr>
        <w:t>,</w:t>
      </w:r>
      <w:r>
        <w:rPr>
          <w:rFonts w:hint="eastAsia" w:eastAsia="仿宋"/>
          <w:color w:val="000000"/>
          <w:kern w:val="0"/>
          <w:sz w:val="28"/>
          <w:szCs w:val="28"/>
        </w:rPr>
        <w:t>7</w:t>
      </w:r>
      <w:r>
        <w:rPr>
          <w:rFonts w:eastAsia="仿宋"/>
          <w:color w:val="000000"/>
          <w:kern w:val="0"/>
          <w:sz w:val="28"/>
          <w:szCs w:val="28"/>
        </w:rPr>
        <w:t>00</w:t>
      </w:r>
      <w:r>
        <w:rPr>
          <w:rFonts w:eastAsia="仿宋"/>
          <w:sz w:val="28"/>
          <w:szCs w:val="28"/>
        </w:rPr>
        <w:t>万元闲置募集资金用于暂时补充流动资金，占公司2016年非公开发行股份募集资金净额375,727万元的</w:t>
      </w:r>
      <w:r>
        <w:rPr>
          <w:rFonts w:hint="eastAsia" w:eastAsia="仿宋"/>
          <w:sz w:val="28"/>
          <w:szCs w:val="28"/>
        </w:rPr>
        <w:t>5.51</w:t>
      </w:r>
      <w:r>
        <w:rPr>
          <w:rFonts w:eastAsia="仿宋"/>
          <w:sz w:val="28"/>
          <w:szCs w:val="28"/>
        </w:rPr>
        <w:t>%。使用期限为自董事会审议批准之日起不超过12个月，到期前归还至募集资金专用账户。</w:t>
      </w:r>
    </w:p>
    <w:p>
      <w:pPr>
        <w:ind w:firstLine="562" w:firstLineChars="200"/>
        <w:rPr>
          <w:rFonts w:eastAsia="仿宋"/>
          <w:b/>
          <w:sz w:val="28"/>
          <w:szCs w:val="28"/>
        </w:rPr>
      </w:pPr>
      <w:r>
        <w:rPr>
          <w:rFonts w:eastAsia="仿宋"/>
          <w:b/>
          <w:sz w:val="28"/>
          <w:szCs w:val="28"/>
        </w:rPr>
        <w:t>四、使用闲置募集资金暂时补充流动资金的合</w:t>
      </w:r>
      <w:r>
        <w:rPr>
          <w:rFonts w:hint="eastAsia" w:eastAsia="仿宋"/>
          <w:b/>
          <w:sz w:val="28"/>
          <w:szCs w:val="28"/>
        </w:rPr>
        <w:t>理</w:t>
      </w:r>
      <w:r>
        <w:rPr>
          <w:rFonts w:eastAsia="仿宋"/>
          <w:b/>
          <w:sz w:val="28"/>
          <w:szCs w:val="28"/>
        </w:rPr>
        <w:t>性和必要性</w:t>
      </w:r>
    </w:p>
    <w:p>
      <w:pPr>
        <w:ind w:firstLine="560" w:firstLineChars="200"/>
        <w:rPr>
          <w:rFonts w:hint="eastAsia" w:ascii="仿宋" w:hAnsi="仿宋" w:eastAsia="仿宋"/>
          <w:sz w:val="28"/>
          <w:szCs w:val="28"/>
        </w:rPr>
      </w:pPr>
      <w:r>
        <w:rPr>
          <w:rFonts w:hint="eastAsia" w:ascii="仿宋" w:hAnsi="仿宋" w:eastAsia="仿宋"/>
          <w:sz w:val="28"/>
          <w:szCs w:val="28"/>
        </w:rPr>
        <w:t>公司使闲置募集资金发挥其效益最大化</w:t>
      </w:r>
      <w:r>
        <w:rPr>
          <w:rFonts w:ascii="仿宋" w:hAnsi="仿宋" w:eastAsia="仿宋"/>
          <w:sz w:val="28"/>
          <w:szCs w:val="28"/>
        </w:rPr>
        <w:t>，在保证募集资金投资项目建设资金需求的前提下，公司使用</w:t>
      </w:r>
      <w:r>
        <w:rPr>
          <w:rFonts w:hint="eastAsia" w:ascii="仿宋" w:hAnsi="仿宋" w:eastAsia="仿宋"/>
          <w:sz w:val="28"/>
          <w:szCs w:val="28"/>
        </w:rPr>
        <w:t>不超过</w:t>
      </w:r>
      <w:r>
        <w:rPr>
          <w:rFonts w:ascii="仿宋" w:hAnsi="仿宋" w:eastAsia="仿宋"/>
          <w:sz w:val="28"/>
          <w:szCs w:val="28"/>
        </w:rPr>
        <w:t>2</w:t>
      </w:r>
      <w:r>
        <w:rPr>
          <w:rFonts w:hint="eastAsia" w:ascii="仿宋" w:hAnsi="仿宋" w:eastAsia="仿宋"/>
          <w:sz w:val="28"/>
          <w:szCs w:val="28"/>
        </w:rPr>
        <w:t>0</w:t>
      </w:r>
      <w:r>
        <w:rPr>
          <w:rFonts w:ascii="仿宋" w:hAnsi="仿宋" w:eastAsia="仿宋"/>
          <w:sz w:val="28"/>
          <w:szCs w:val="28"/>
        </w:rPr>
        <w:t>,</w:t>
      </w:r>
      <w:r>
        <w:rPr>
          <w:rFonts w:hint="eastAsia" w:ascii="仿宋" w:hAnsi="仿宋" w:eastAsia="仿宋"/>
          <w:sz w:val="28"/>
          <w:szCs w:val="28"/>
        </w:rPr>
        <w:t>7</w:t>
      </w:r>
      <w:r>
        <w:rPr>
          <w:rFonts w:ascii="仿宋" w:hAnsi="仿宋" w:eastAsia="仿宋"/>
          <w:sz w:val="28"/>
          <w:szCs w:val="28"/>
        </w:rPr>
        <w:t>00</w:t>
      </w:r>
      <w:r>
        <w:rPr>
          <w:rFonts w:hint="eastAsia" w:ascii="仿宋" w:hAnsi="仿宋" w:eastAsia="仿宋"/>
          <w:sz w:val="28"/>
          <w:szCs w:val="28"/>
        </w:rPr>
        <w:t>万</w:t>
      </w:r>
      <w:r>
        <w:rPr>
          <w:rFonts w:ascii="仿宋" w:hAnsi="仿宋" w:eastAsia="仿宋"/>
          <w:sz w:val="28"/>
          <w:szCs w:val="28"/>
        </w:rPr>
        <w:t>元闲置募集资金暂时补充流动资金</w:t>
      </w:r>
      <w:r>
        <w:rPr>
          <w:rFonts w:hint="eastAsia" w:ascii="仿宋" w:hAnsi="仿宋" w:eastAsia="仿宋"/>
          <w:sz w:val="28"/>
          <w:szCs w:val="28"/>
        </w:rPr>
        <w:t>，主要用于与公司主营业务相关的生产经营支出，</w:t>
      </w:r>
      <w:r>
        <w:rPr>
          <w:rFonts w:eastAsia="仿宋"/>
          <w:sz w:val="28"/>
          <w:szCs w:val="28"/>
        </w:rPr>
        <w:t>有利于提高资金使用效率，减少流动资金贷款规模，</w:t>
      </w:r>
      <w:r>
        <w:rPr>
          <w:rFonts w:hint="eastAsia" w:eastAsia="仿宋"/>
          <w:sz w:val="28"/>
          <w:szCs w:val="28"/>
        </w:rPr>
        <w:t>减少财务费用</w:t>
      </w:r>
      <w:r>
        <w:rPr>
          <w:rFonts w:hint="eastAsia" w:ascii="仿宋" w:hAnsi="仿宋" w:eastAsia="仿宋"/>
          <w:sz w:val="28"/>
          <w:szCs w:val="28"/>
        </w:rPr>
        <w:t>。</w:t>
      </w:r>
    </w:p>
    <w:p>
      <w:pPr>
        <w:ind w:firstLine="562" w:firstLineChars="200"/>
        <w:rPr>
          <w:rFonts w:eastAsia="仿宋"/>
          <w:b/>
          <w:sz w:val="28"/>
          <w:szCs w:val="28"/>
        </w:rPr>
      </w:pPr>
      <w:r>
        <w:rPr>
          <w:rFonts w:eastAsia="仿宋"/>
          <w:b/>
          <w:sz w:val="28"/>
          <w:szCs w:val="28"/>
        </w:rPr>
        <w:t>五、使用闲置募集资金补充流动资金的相关承诺</w:t>
      </w:r>
    </w:p>
    <w:p>
      <w:pPr>
        <w:ind w:firstLine="562" w:firstLineChars="200"/>
        <w:rPr>
          <w:rFonts w:eastAsia="仿宋"/>
          <w:b/>
          <w:sz w:val="28"/>
          <w:szCs w:val="28"/>
        </w:rPr>
      </w:pPr>
      <w:r>
        <w:rPr>
          <w:rFonts w:eastAsia="仿宋"/>
          <w:b/>
          <w:sz w:val="28"/>
          <w:szCs w:val="28"/>
        </w:rPr>
        <w:t>（一）是否存在变相改变募集资金用途的行为的说明</w:t>
      </w:r>
    </w:p>
    <w:p>
      <w:pPr>
        <w:ind w:firstLine="560" w:firstLineChars="200"/>
        <w:rPr>
          <w:rFonts w:eastAsia="仿宋"/>
          <w:sz w:val="28"/>
          <w:szCs w:val="28"/>
        </w:rPr>
      </w:pPr>
      <w:r>
        <w:rPr>
          <w:rFonts w:eastAsia="仿宋"/>
          <w:sz w:val="28"/>
          <w:szCs w:val="28"/>
        </w:rPr>
        <w:t>公司承诺该闲置募集资金暂时补充流动资金全部用于与主营业务相关的生产经营，不会用于新股配售、申购，或用于股票及其衍生品种</w:t>
      </w:r>
      <w:r>
        <w:rPr>
          <w:rFonts w:hint="eastAsia" w:eastAsia="仿宋"/>
          <w:sz w:val="28"/>
          <w:szCs w:val="28"/>
          <w:lang w:eastAsia="zh-CN"/>
        </w:rPr>
        <w:t>、</w:t>
      </w:r>
      <w:bookmarkStart w:id="0" w:name="_GoBack"/>
      <w:bookmarkEnd w:id="0"/>
      <w:r>
        <w:rPr>
          <w:rFonts w:eastAsia="仿宋"/>
          <w:sz w:val="28"/>
          <w:szCs w:val="28"/>
        </w:rPr>
        <w:t>可转换公司债券交易等变相改变募集资金用途的行为。</w:t>
      </w:r>
    </w:p>
    <w:p>
      <w:pPr>
        <w:ind w:firstLine="562" w:firstLineChars="200"/>
        <w:rPr>
          <w:rFonts w:eastAsia="仿宋"/>
          <w:b/>
          <w:sz w:val="28"/>
          <w:szCs w:val="28"/>
        </w:rPr>
      </w:pPr>
      <w:r>
        <w:rPr>
          <w:rFonts w:eastAsia="仿宋"/>
          <w:b/>
          <w:sz w:val="28"/>
          <w:szCs w:val="28"/>
        </w:rPr>
        <w:t>（二）保证不影响募集资金项目正常进行的措施</w:t>
      </w:r>
    </w:p>
    <w:p>
      <w:pPr>
        <w:ind w:firstLine="560" w:firstLineChars="200"/>
        <w:rPr>
          <w:rFonts w:eastAsia="仿宋"/>
          <w:sz w:val="28"/>
          <w:szCs w:val="28"/>
        </w:rPr>
      </w:pPr>
      <w:r>
        <w:rPr>
          <w:rFonts w:eastAsia="仿宋"/>
          <w:sz w:val="28"/>
          <w:szCs w:val="28"/>
        </w:rPr>
        <w:t xml:space="preserve">公司承诺在使用闲置募集资金暂时补充流动资金期间，如募投项目需要使用该部分已用于补充流动资金的募集资金时，以自有资金或通过向银行申请流动资金贷款及时予以归还，保证不影响募集资金建设项目的正常进行，不存在逾期归还风险。 </w:t>
      </w:r>
    </w:p>
    <w:p>
      <w:pPr>
        <w:ind w:firstLine="562" w:firstLineChars="200"/>
        <w:rPr>
          <w:rFonts w:eastAsia="仿宋"/>
          <w:b/>
          <w:sz w:val="28"/>
          <w:szCs w:val="28"/>
        </w:rPr>
      </w:pPr>
      <w:r>
        <w:rPr>
          <w:rFonts w:eastAsia="仿宋"/>
          <w:b/>
          <w:sz w:val="28"/>
          <w:szCs w:val="28"/>
        </w:rPr>
        <w:t>（三）相关承诺</w:t>
      </w:r>
    </w:p>
    <w:p>
      <w:pPr>
        <w:pStyle w:val="21"/>
        <w:ind w:firstLine="560" w:firstLineChars="200"/>
        <w:rPr>
          <w:rFonts w:ascii="Times New Roman" w:eastAsia="仿宋" w:cs="Times New Roman"/>
          <w:sz w:val="28"/>
          <w:szCs w:val="28"/>
        </w:rPr>
      </w:pPr>
      <w:r>
        <w:rPr>
          <w:rFonts w:ascii="Times New Roman" w:eastAsia="仿宋" w:cs="Times New Roman"/>
          <w:color w:val="auto"/>
          <w:kern w:val="2"/>
          <w:sz w:val="28"/>
          <w:szCs w:val="28"/>
        </w:rPr>
        <w:t>公司最近十二个月内未进行证券投资等高风险投资，并承诺在使用闲置募集资金补充流动资金后的十二个月内，不进行证券投资及其他高风险投资或为他人提供财务资助。</w:t>
      </w:r>
      <w:r>
        <w:rPr>
          <w:rFonts w:ascii="Times New Roman" w:eastAsia="仿宋" w:cs="Times New Roman"/>
          <w:sz w:val="28"/>
          <w:szCs w:val="28"/>
        </w:rPr>
        <w:t xml:space="preserve">承诺该等闲置募集资金补充流动资金全部用于与主营业务相关的生产经营，不会用于新股配售、申购，或用于股票及其衍生品种、可转换公司债券交易等变相改变募集资金用途的行为。 </w:t>
      </w:r>
    </w:p>
    <w:p>
      <w:pPr>
        <w:pStyle w:val="21"/>
        <w:ind w:firstLine="562" w:firstLineChars="200"/>
        <w:rPr>
          <w:rFonts w:ascii="Times New Roman" w:eastAsia="仿宋" w:cs="Times New Roman"/>
          <w:b/>
          <w:color w:val="auto"/>
          <w:kern w:val="2"/>
          <w:sz w:val="28"/>
          <w:szCs w:val="28"/>
        </w:rPr>
      </w:pPr>
      <w:r>
        <w:rPr>
          <w:rFonts w:ascii="Times New Roman" w:eastAsia="仿宋" w:cs="Times New Roman"/>
          <w:b/>
          <w:color w:val="auto"/>
          <w:kern w:val="2"/>
          <w:sz w:val="28"/>
          <w:szCs w:val="28"/>
        </w:rPr>
        <w:t>六、监事会及保荐</w:t>
      </w:r>
      <w:r>
        <w:rPr>
          <w:rFonts w:hint="eastAsia" w:ascii="Times New Roman" w:eastAsia="仿宋" w:cs="Times New Roman"/>
          <w:b/>
          <w:color w:val="auto"/>
          <w:kern w:val="2"/>
          <w:sz w:val="28"/>
          <w:szCs w:val="28"/>
          <w:lang w:val="en-US" w:eastAsia="zh-CN"/>
        </w:rPr>
        <w:t>人</w:t>
      </w:r>
      <w:r>
        <w:rPr>
          <w:rFonts w:ascii="Times New Roman" w:eastAsia="仿宋" w:cs="Times New Roman"/>
          <w:b/>
          <w:color w:val="auto"/>
          <w:kern w:val="2"/>
          <w:sz w:val="28"/>
          <w:szCs w:val="28"/>
        </w:rPr>
        <w:t>发表的意见</w:t>
      </w:r>
    </w:p>
    <w:p>
      <w:pPr>
        <w:pStyle w:val="21"/>
        <w:ind w:firstLine="562" w:firstLineChars="200"/>
        <w:rPr>
          <w:rFonts w:ascii="Times New Roman" w:eastAsia="仿宋" w:cs="Times New Roman"/>
          <w:b/>
          <w:color w:val="auto"/>
          <w:kern w:val="2"/>
          <w:sz w:val="28"/>
          <w:szCs w:val="28"/>
        </w:rPr>
      </w:pPr>
      <w:r>
        <w:rPr>
          <w:rFonts w:hint="eastAsia" w:ascii="Times New Roman" w:eastAsia="仿宋" w:cs="Times New Roman"/>
          <w:b/>
          <w:color w:val="auto"/>
          <w:kern w:val="2"/>
          <w:sz w:val="28"/>
          <w:szCs w:val="28"/>
        </w:rPr>
        <w:t>（一）</w:t>
      </w:r>
      <w:r>
        <w:rPr>
          <w:rFonts w:ascii="Times New Roman" w:eastAsia="仿宋" w:cs="Times New Roman"/>
          <w:b/>
          <w:color w:val="auto"/>
          <w:kern w:val="2"/>
          <w:sz w:val="28"/>
          <w:szCs w:val="28"/>
        </w:rPr>
        <w:t>监事会意见</w:t>
      </w:r>
    </w:p>
    <w:p>
      <w:pPr>
        <w:spacing w:line="600" w:lineRule="exact"/>
        <w:ind w:firstLine="560" w:firstLineChars="200"/>
        <w:rPr>
          <w:rFonts w:eastAsia="仿宋"/>
          <w:sz w:val="28"/>
          <w:szCs w:val="28"/>
        </w:rPr>
      </w:pPr>
      <w:r>
        <w:rPr>
          <w:rFonts w:eastAsia="仿宋"/>
          <w:sz w:val="28"/>
          <w:szCs w:val="28"/>
        </w:rPr>
        <w:t>公司监事会认为：</w:t>
      </w:r>
      <w:r>
        <w:rPr>
          <w:rFonts w:hint="eastAsia" w:ascii="仿宋" w:hAnsi="仿宋" w:eastAsia="仿宋" w:cs="仿宋"/>
          <w:b w:val="0"/>
          <w:bCs/>
          <w:sz w:val="28"/>
          <w:szCs w:val="28"/>
          <w:lang w:val="en-US" w:eastAsia="zh-CN"/>
        </w:rPr>
        <w:t>公司本次使用闲置募集资金暂时补充流动资金,相关内容及程序符合中国证监会《上市公司监管指引第2号－上市公司募集资金管理和使用的监管要求》、深圳证券交易所《上市公司自律监管指引第1号——主板上市公司规范运作》以及吉林电力股份有限公司《募集资金管理规定》的相关规定，不存在变相改变募集资金用途的情形，不影响公司募投项目的正常开展，有利于提高资金使用效率。</w:t>
      </w:r>
      <w:r>
        <w:rPr>
          <w:rFonts w:hint="eastAsia" w:eastAsia="仿宋"/>
          <w:sz w:val="28"/>
          <w:szCs w:val="28"/>
        </w:rPr>
        <w:t>监事会</w:t>
      </w:r>
      <w:r>
        <w:rPr>
          <w:rFonts w:eastAsia="仿宋"/>
          <w:sz w:val="28"/>
          <w:szCs w:val="28"/>
        </w:rPr>
        <w:t>同意在确保不影响募</w:t>
      </w:r>
      <w:r>
        <w:rPr>
          <w:rFonts w:hint="eastAsia" w:eastAsia="仿宋"/>
          <w:sz w:val="28"/>
          <w:szCs w:val="28"/>
        </w:rPr>
        <w:t>投</w:t>
      </w:r>
      <w:r>
        <w:rPr>
          <w:rFonts w:eastAsia="仿宋"/>
          <w:sz w:val="28"/>
          <w:szCs w:val="28"/>
        </w:rPr>
        <w:t>项目建设和募集资金使用的前提下，使用</w:t>
      </w:r>
      <w:r>
        <w:rPr>
          <w:rFonts w:hint="eastAsia" w:eastAsia="仿宋"/>
          <w:sz w:val="28"/>
          <w:szCs w:val="28"/>
        </w:rPr>
        <w:t>不超过</w:t>
      </w:r>
      <w:r>
        <w:rPr>
          <w:rFonts w:eastAsia="仿宋"/>
          <w:sz w:val="28"/>
          <w:szCs w:val="28"/>
        </w:rPr>
        <w:t>2</w:t>
      </w:r>
      <w:r>
        <w:rPr>
          <w:rFonts w:hint="eastAsia" w:eastAsia="仿宋"/>
          <w:sz w:val="28"/>
          <w:szCs w:val="28"/>
        </w:rPr>
        <w:t>0</w:t>
      </w:r>
      <w:r>
        <w:rPr>
          <w:rFonts w:eastAsia="仿宋"/>
          <w:sz w:val="28"/>
          <w:szCs w:val="28"/>
        </w:rPr>
        <w:t>,</w:t>
      </w:r>
      <w:r>
        <w:rPr>
          <w:rFonts w:hint="eastAsia" w:eastAsia="仿宋"/>
          <w:sz w:val="28"/>
          <w:szCs w:val="28"/>
        </w:rPr>
        <w:t>70</w:t>
      </w:r>
      <w:r>
        <w:rPr>
          <w:rFonts w:eastAsia="仿宋"/>
          <w:sz w:val="28"/>
          <w:szCs w:val="28"/>
        </w:rPr>
        <w:t>0万元闲置募集资金用于补充流动资金，使用期限为自董事会审议批准之日起不超过12个月，到期前归还至募集资金专用账户。</w:t>
      </w:r>
    </w:p>
    <w:p>
      <w:pPr>
        <w:pStyle w:val="21"/>
        <w:ind w:firstLine="562" w:firstLineChars="200"/>
        <w:rPr>
          <w:rFonts w:ascii="Times New Roman" w:eastAsia="仿宋" w:cs="Times New Roman"/>
          <w:b/>
          <w:color w:val="auto"/>
          <w:kern w:val="2"/>
          <w:sz w:val="28"/>
          <w:szCs w:val="28"/>
        </w:rPr>
      </w:pPr>
      <w:r>
        <w:rPr>
          <w:rFonts w:ascii="Times New Roman" w:eastAsia="仿宋" w:cs="Times New Roman"/>
          <w:b/>
          <w:color w:val="auto"/>
          <w:kern w:val="2"/>
          <w:sz w:val="28"/>
          <w:szCs w:val="28"/>
        </w:rPr>
        <w:t>（</w:t>
      </w:r>
      <w:r>
        <w:rPr>
          <w:rFonts w:hint="eastAsia" w:ascii="Times New Roman" w:eastAsia="仿宋" w:cs="Times New Roman"/>
          <w:b/>
          <w:color w:val="auto"/>
          <w:kern w:val="2"/>
          <w:sz w:val="28"/>
          <w:szCs w:val="28"/>
        </w:rPr>
        <w:t>二</w:t>
      </w:r>
      <w:r>
        <w:rPr>
          <w:rFonts w:ascii="Times New Roman" w:eastAsia="仿宋" w:cs="Times New Roman"/>
          <w:b/>
          <w:color w:val="auto"/>
          <w:kern w:val="2"/>
          <w:sz w:val="28"/>
          <w:szCs w:val="28"/>
        </w:rPr>
        <w:t>）保荐</w:t>
      </w:r>
      <w:r>
        <w:rPr>
          <w:rFonts w:hint="eastAsia" w:ascii="Times New Roman" w:eastAsia="仿宋" w:cs="Times New Roman"/>
          <w:b/>
          <w:color w:val="auto"/>
          <w:kern w:val="2"/>
          <w:sz w:val="28"/>
          <w:szCs w:val="28"/>
          <w:lang w:val="en-US" w:eastAsia="zh-CN"/>
        </w:rPr>
        <w:t>人</w:t>
      </w:r>
      <w:r>
        <w:rPr>
          <w:rFonts w:ascii="Times New Roman" w:eastAsia="仿宋" w:cs="Times New Roman"/>
          <w:b/>
          <w:color w:val="auto"/>
          <w:kern w:val="2"/>
          <w:sz w:val="28"/>
          <w:szCs w:val="28"/>
        </w:rPr>
        <w:t>意见</w:t>
      </w:r>
    </w:p>
    <w:p>
      <w:pPr>
        <w:pStyle w:val="21"/>
        <w:ind w:firstLine="560" w:firstLineChars="200"/>
        <w:rPr>
          <w:rFonts w:hint="eastAsia" w:ascii="Times New Roman" w:eastAsia="仿宋" w:cs="Times New Roman"/>
          <w:color w:val="auto"/>
          <w:kern w:val="2"/>
          <w:sz w:val="28"/>
          <w:szCs w:val="28"/>
        </w:rPr>
      </w:pPr>
      <w:r>
        <w:rPr>
          <w:rFonts w:hint="eastAsia" w:ascii="Times New Roman" w:eastAsia="仿宋" w:cs="Times New Roman"/>
          <w:color w:val="auto"/>
          <w:kern w:val="2"/>
          <w:sz w:val="28"/>
          <w:szCs w:val="28"/>
        </w:rPr>
        <w:t>经公司保荐</w:t>
      </w:r>
      <w:r>
        <w:rPr>
          <w:rFonts w:hint="eastAsia" w:ascii="Times New Roman" w:eastAsia="仿宋" w:cs="Times New Roman"/>
          <w:color w:val="auto"/>
          <w:kern w:val="2"/>
          <w:sz w:val="28"/>
          <w:szCs w:val="28"/>
          <w:lang w:val="en-US" w:eastAsia="zh-CN"/>
        </w:rPr>
        <w:t>人</w:t>
      </w:r>
      <w:r>
        <w:rPr>
          <w:rFonts w:hint="eastAsia" w:ascii="Times New Roman" w:eastAsia="仿宋" w:cs="Times New Roman"/>
          <w:color w:val="auto"/>
          <w:kern w:val="2"/>
          <w:sz w:val="28"/>
          <w:szCs w:val="28"/>
        </w:rPr>
        <w:t>——国信证券核查，保荐</w:t>
      </w:r>
      <w:r>
        <w:rPr>
          <w:rFonts w:hint="eastAsia" w:ascii="Times New Roman" w:eastAsia="仿宋" w:cs="Times New Roman"/>
          <w:color w:val="auto"/>
          <w:kern w:val="2"/>
          <w:sz w:val="28"/>
          <w:szCs w:val="28"/>
          <w:lang w:val="en-US" w:eastAsia="zh-CN"/>
        </w:rPr>
        <w:t>人</w:t>
      </w:r>
      <w:r>
        <w:rPr>
          <w:rFonts w:hint="eastAsia" w:ascii="Times New Roman" w:eastAsia="仿宋" w:cs="Times New Roman"/>
          <w:color w:val="auto"/>
          <w:kern w:val="2"/>
          <w:sz w:val="28"/>
          <w:szCs w:val="28"/>
        </w:rPr>
        <w:t>认为：</w:t>
      </w:r>
    </w:p>
    <w:p>
      <w:pPr>
        <w:pStyle w:val="21"/>
        <w:ind w:firstLine="560" w:firstLineChars="200"/>
        <w:rPr>
          <w:rFonts w:hint="eastAsia" w:ascii="Times New Roman" w:eastAsia="仿宋" w:cs="Times New Roman"/>
          <w:color w:val="auto"/>
          <w:kern w:val="2"/>
          <w:sz w:val="28"/>
          <w:szCs w:val="28"/>
        </w:rPr>
      </w:pPr>
      <w:r>
        <w:rPr>
          <w:rFonts w:hint="eastAsia" w:ascii="Times New Roman" w:eastAsia="仿宋" w:cs="Times New Roman"/>
          <w:color w:val="auto"/>
          <w:kern w:val="2"/>
          <w:sz w:val="28"/>
          <w:szCs w:val="28"/>
        </w:rPr>
        <w:t>1、吉电股份本次使用闲置募集资金暂时补充流动资金事项，已经董事会、监事会审议通过，监事会发表了明确同意的意见，履行了必要的法律程序，符合《上市公司监管指引第2号—上市公司募集资金管理和使用的监管要求》《深圳证券交易所上市公司自律监管指引第1号——主板上市公司规范运作》及《吉林电力股份有限公司募集资金管理办法》等相关规定的要求。</w:t>
      </w:r>
    </w:p>
    <w:p>
      <w:pPr>
        <w:pStyle w:val="21"/>
        <w:ind w:firstLine="560" w:firstLineChars="200"/>
        <w:rPr>
          <w:rFonts w:hint="eastAsia" w:ascii="Times New Roman" w:eastAsia="仿宋" w:cs="Times New Roman"/>
          <w:color w:val="auto"/>
          <w:kern w:val="2"/>
          <w:sz w:val="28"/>
          <w:szCs w:val="28"/>
        </w:rPr>
      </w:pPr>
      <w:r>
        <w:rPr>
          <w:rFonts w:hint="eastAsia" w:ascii="Times New Roman" w:eastAsia="仿宋" w:cs="Times New Roman"/>
          <w:color w:val="auto"/>
          <w:kern w:val="2"/>
          <w:sz w:val="28"/>
          <w:szCs w:val="28"/>
        </w:rPr>
        <w:t>2、公司本次使用闲置募集资金暂时补充流动资金，不影响原募集资金投资项目的正常实施，不存在变相改变募集资金投向、损害股东利益的情形。公司承诺，本次使用闲置募集资金补充流动资金主要用于与公司主营业务相关的生产经营支出，保证不进行证券投资及其他高风险投资，不对外提供财务资助。本次补充流动资金时间计划不超过12个月。</w:t>
      </w:r>
    </w:p>
    <w:p>
      <w:pPr>
        <w:pStyle w:val="21"/>
        <w:ind w:firstLine="560" w:firstLineChars="200"/>
        <w:rPr>
          <w:rFonts w:ascii="Times New Roman" w:eastAsia="仿宋" w:cs="Times New Roman"/>
          <w:b/>
          <w:color w:val="auto"/>
          <w:kern w:val="2"/>
          <w:sz w:val="28"/>
          <w:szCs w:val="28"/>
        </w:rPr>
      </w:pPr>
      <w:r>
        <w:rPr>
          <w:rFonts w:hint="eastAsia" w:ascii="Times New Roman" w:eastAsia="仿宋" w:cs="Times New Roman"/>
          <w:color w:val="auto"/>
          <w:kern w:val="2"/>
          <w:sz w:val="28"/>
          <w:szCs w:val="28"/>
        </w:rPr>
        <w:t>基于以上意见，国信证券对吉电股份本次使用闲置募集资金进行暂时补充流动资金事项无异议。</w:t>
      </w:r>
    </w:p>
    <w:p>
      <w:pPr>
        <w:pStyle w:val="21"/>
        <w:numPr>
          <w:ilvl w:val="0"/>
          <w:numId w:val="0"/>
        </w:numPr>
        <w:ind w:firstLine="562" w:firstLineChars="200"/>
        <w:rPr>
          <w:rFonts w:ascii="Times New Roman" w:eastAsia="仿宋" w:cs="Times New Roman"/>
          <w:color w:val="auto"/>
          <w:kern w:val="2"/>
          <w:sz w:val="28"/>
          <w:szCs w:val="28"/>
        </w:rPr>
      </w:pPr>
      <w:r>
        <w:rPr>
          <w:rFonts w:hint="eastAsia" w:ascii="Times New Roman" w:eastAsia="仿宋" w:cs="Times New Roman"/>
          <w:b/>
          <w:color w:val="auto"/>
          <w:kern w:val="2"/>
          <w:sz w:val="28"/>
          <w:szCs w:val="28"/>
          <w:lang w:val="en-US" w:eastAsia="zh-CN"/>
        </w:rPr>
        <w:t>七、</w:t>
      </w:r>
      <w:r>
        <w:rPr>
          <w:rFonts w:ascii="Times New Roman" w:eastAsia="仿宋" w:cs="Times New Roman"/>
          <w:b/>
          <w:color w:val="auto"/>
          <w:kern w:val="2"/>
          <w:sz w:val="28"/>
          <w:szCs w:val="28"/>
        </w:rPr>
        <w:t>备查文件</w:t>
      </w:r>
      <w:r>
        <w:rPr>
          <w:rFonts w:ascii="Times New Roman" w:eastAsia="仿宋" w:cs="Times New Roman"/>
          <w:color w:val="auto"/>
          <w:kern w:val="2"/>
          <w:sz w:val="28"/>
          <w:szCs w:val="28"/>
        </w:rPr>
        <w:br w:type="textWrapping"/>
      </w:r>
      <w:r>
        <w:rPr>
          <w:rFonts w:ascii="Times New Roman" w:eastAsia="仿宋" w:cs="Times New Roman"/>
          <w:color w:val="auto"/>
          <w:kern w:val="2"/>
          <w:sz w:val="28"/>
          <w:szCs w:val="28"/>
        </w:rPr>
        <w:t xml:space="preserve">    1.公司第</w:t>
      </w:r>
      <w:r>
        <w:rPr>
          <w:rFonts w:hint="eastAsia" w:ascii="Times New Roman" w:eastAsia="仿宋" w:cs="Times New Roman"/>
          <w:color w:val="auto"/>
          <w:kern w:val="2"/>
          <w:sz w:val="28"/>
          <w:szCs w:val="28"/>
        </w:rPr>
        <w:t>九</w:t>
      </w:r>
      <w:r>
        <w:rPr>
          <w:rFonts w:ascii="Times New Roman" w:eastAsia="仿宋" w:cs="Times New Roman"/>
          <w:color w:val="auto"/>
          <w:kern w:val="2"/>
          <w:sz w:val="28"/>
          <w:szCs w:val="28"/>
        </w:rPr>
        <w:t>届董事会第</w:t>
      </w:r>
      <w:r>
        <w:rPr>
          <w:rFonts w:hint="eastAsia" w:ascii="Times New Roman" w:eastAsia="仿宋" w:cs="Times New Roman"/>
          <w:color w:val="auto"/>
          <w:kern w:val="2"/>
          <w:sz w:val="28"/>
          <w:szCs w:val="28"/>
        </w:rPr>
        <w:t>十七</w:t>
      </w:r>
      <w:r>
        <w:rPr>
          <w:rFonts w:ascii="Times New Roman" w:eastAsia="仿宋" w:cs="Times New Roman"/>
          <w:color w:val="auto"/>
          <w:kern w:val="2"/>
          <w:sz w:val="28"/>
          <w:szCs w:val="28"/>
        </w:rPr>
        <w:t>次会议决议；</w:t>
      </w:r>
      <w:r>
        <w:rPr>
          <w:rFonts w:ascii="Times New Roman" w:eastAsia="仿宋" w:cs="Times New Roman"/>
          <w:color w:val="auto"/>
          <w:kern w:val="2"/>
          <w:sz w:val="28"/>
          <w:szCs w:val="28"/>
        </w:rPr>
        <w:br w:type="textWrapping"/>
      </w:r>
      <w:r>
        <w:rPr>
          <w:rFonts w:ascii="Times New Roman" w:eastAsia="仿宋" w:cs="Times New Roman"/>
          <w:color w:val="auto"/>
          <w:kern w:val="2"/>
          <w:sz w:val="28"/>
          <w:szCs w:val="28"/>
        </w:rPr>
        <w:t xml:space="preserve"> 　 2.公司第</w:t>
      </w:r>
      <w:r>
        <w:rPr>
          <w:rFonts w:hint="eastAsia" w:ascii="Times New Roman" w:eastAsia="仿宋" w:cs="Times New Roman"/>
          <w:color w:val="auto"/>
          <w:kern w:val="2"/>
          <w:sz w:val="28"/>
          <w:szCs w:val="28"/>
        </w:rPr>
        <w:t>九</w:t>
      </w:r>
      <w:r>
        <w:rPr>
          <w:rFonts w:ascii="Times New Roman" w:eastAsia="仿宋" w:cs="Times New Roman"/>
          <w:color w:val="auto"/>
          <w:kern w:val="2"/>
          <w:sz w:val="28"/>
          <w:szCs w:val="28"/>
        </w:rPr>
        <w:t>届监事会第</w:t>
      </w:r>
      <w:r>
        <w:rPr>
          <w:rFonts w:hint="eastAsia" w:ascii="Times New Roman" w:eastAsia="仿宋" w:cs="Times New Roman"/>
          <w:color w:val="auto"/>
          <w:kern w:val="2"/>
          <w:sz w:val="28"/>
          <w:szCs w:val="28"/>
        </w:rPr>
        <w:t>十二次</w:t>
      </w:r>
      <w:r>
        <w:rPr>
          <w:rFonts w:ascii="Times New Roman" w:eastAsia="仿宋" w:cs="Times New Roman"/>
          <w:color w:val="auto"/>
          <w:kern w:val="2"/>
          <w:sz w:val="28"/>
          <w:szCs w:val="28"/>
        </w:rPr>
        <w:t>会议决议；</w:t>
      </w:r>
      <w:r>
        <w:rPr>
          <w:rFonts w:ascii="Times New Roman" w:eastAsia="仿宋" w:cs="Times New Roman"/>
          <w:color w:val="auto"/>
          <w:kern w:val="2"/>
          <w:sz w:val="28"/>
          <w:szCs w:val="28"/>
        </w:rPr>
        <w:br w:type="textWrapping"/>
      </w:r>
      <w:r>
        <w:rPr>
          <w:rFonts w:ascii="Times New Roman" w:eastAsia="仿宋" w:cs="Times New Roman"/>
          <w:color w:val="auto"/>
          <w:kern w:val="2"/>
          <w:sz w:val="28"/>
          <w:szCs w:val="28"/>
        </w:rPr>
        <w:t>　  3.国信证券股份有限公司关于吉林电力股份有限公司使用闲置募集资金暂时补充流动资金的核查意见。</w:t>
      </w:r>
      <w:r>
        <w:rPr>
          <w:rFonts w:ascii="Times New Roman" w:eastAsia="仿宋" w:cs="Times New Roman"/>
          <w:color w:val="auto"/>
          <w:kern w:val="2"/>
          <w:sz w:val="28"/>
          <w:szCs w:val="28"/>
        </w:rPr>
        <w:br w:type="textWrapping"/>
      </w:r>
      <w:r>
        <w:rPr>
          <w:rFonts w:ascii="Times New Roman" w:eastAsia="仿宋" w:cs="Times New Roman"/>
          <w:color w:val="auto"/>
          <w:kern w:val="2"/>
          <w:sz w:val="28"/>
          <w:szCs w:val="28"/>
        </w:rPr>
        <w:t xml:space="preserve">   </w:t>
      </w:r>
    </w:p>
    <w:p>
      <w:pPr>
        <w:pStyle w:val="21"/>
        <w:ind w:firstLine="560" w:firstLineChars="200"/>
        <w:rPr>
          <w:rFonts w:ascii="Times New Roman" w:eastAsia="仿宋" w:cs="Times New Roman"/>
          <w:color w:val="auto"/>
          <w:kern w:val="2"/>
          <w:sz w:val="28"/>
          <w:szCs w:val="28"/>
        </w:rPr>
      </w:pPr>
      <w:r>
        <w:rPr>
          <w:rFonts w:ascii="Times New Roman" w:eastAsia="仿宋" w:cs="Times New Roman"/>
          <w:color w:val="auto"/>
          <w:kern w:val="2"/>
          <w:sz w:val="28"/>
          <w:szCs w:val="28"/>
        </w:rPr>
        <w:t>特此公告。</w:t>
      </w:r>
    </w:p>
    <w:p>
      <w:pPr>
        <w:pStyle w:val="21"/>
        <w:ind w:firstLine="560" w:firstLineChars="200"/>
        <w:rPr>
          <w:rFonts w:ascii="Times New Roman" w:eastAsia="仿宋" w:cs="Times New Roman"/>
          <w:color w:val="auto"/>
          <w:kern w:val="2"/>
          <w:sz w:val="28"/>
          <w:szCs w:val="28"/>
        </w:rPr>
      </w:pPr>
    </w:p>
    <w:p>
      <w:pPr>
        <w:pStyle w:val="21"/>
        <w:ind w:firstLine="480" w:firstLineChars="200"/>
        <w:rPr>
          <w:rFonts w:ascii="Times New Roman" w:cs="Times New Roman"/>
        </w:rPr>
      </w:pPr>
      <w:r>
        <w:rPr>
          <w:rFonts w:ascii="Times New Roman" w:cs="Times New Roman"/>
          <w:color w:val="auto"/>
          <w:kern w:val="2"/>
        </w:rPr>
        <w:t xml:space="preserve">            </w:t>
      </w:r>
      <w:r>
        <w:rPr>
          <w:rFonts w:ascii="Times New Roman" w:cs="Times New Roman"/>
        </w:rPr>
        <w:t xml:space="preserve">                  </w:t>
      </w:r>
    </w:p>
    <w:p>
      <w:pPr>
        <w:pStyle w:val="21"/>
        <w:ind w:firstLine="4480" w:firstLineChars="1600"/>
        <w:rPr>
          <w:rFonts w:ascii="Times New Roman" w:eastAsia="仿宋" w:cs="Times New Roman"/>
          <w:sz w:val="28"/>
          <w:szCs w:val="28"/>
        </w:rPr>
      </w:pPr>
      <w:r>
        <w:rPr>
          <w:rFonts w:ascii="Times New Roman" w:eastAsia="仿宋" w:cs="Times New Roman"/>
          <w:sz w:val="28"/>
          <w:szCs w:val="28"/>
        </w:rPr>
        <w:t>吉林电力股份有限公司董事会</w:t>
      </w:r>
    </w:p>
    <w:p>
      <w:pPr>
        <w:pStyle w:val="21"/>
        <w:ind w:firstLine="5040" w:firstLineChars="1800"/>
        <w:rPr>
          <w:rFonts w:ascii="Times New Roman" w:eastAsia="仿宋" w:cs="Times New Roman"/>
          <w:sz w:val="28"/>
          <w:szCs w:val="28"/>
        </w:rPr>
      </w:pPr>
      <w:r>
        <w:rPr>
          <w:rFonts w:hint="eastAsia" w:ascii="Times New Roman" w:eastAsia="仿宋" w:cs="Times New Roman"/>
          <w:sz w:val="28"/>
          <w:szCs w:val="28"/>
        </w:rPr>
        <w:t>二〇二四年四月二十六日</w:t>
      </w:r>
    </w:p>
    <w:p>
      <w:pPr>
        <w:wordWrap w:val="0"/>
        <w:jc w:val="right"/>
      </w:pPr>
      <w:r>
        <w:rPr>
          <w:rFonts w:hint="eastAsia"/>
        </w:rPr>
        <w:t xml:space="preserve">    </w:t>
      </w:r>
    </w:p>
    <w:p>
      <w:pPr>
        <w:tabs>
          <w:tab w:val="left" w:pos="5828"/>
        </w:tabs>
        <w:jc w:val="left"/>
      </w:pPr>
      <w:r>
        <w:rPr>
          <w:rFonts w:hint="eastAsia"/>
        </w:rPr>
        <w:tab/>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fldChar w:fldCharType="begin"/>
    </w:r>
    <w:r>
      <w:rPr>
        <w:rStyle w:val="15"/>
      </w:rPr>
      <w:instrText xml:space="preserve">PAGE  </w:instrText>
    </w:r>
    <w:r>
      <w:fldChar w:fldCharType="separate"/>
    </w:r>
    <w:r>
      <w:rPr>
        <w:rStyle w:val="15"/>
      </w:rPr>
      <w:t>9</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6E67"/>
    <w:rsid w:val="000648D4"/>
    <w:rsid w:val="000658D4"/>
    <w:rsid w:val="00071DC8"/>
    <w:rsid w:val="00072FA6"/>
    <w:rsid w:val="00084D91"/>
    <w:rsid w:val="000A3C4A"/>
    <w:rsid w:val="000B5D56"/>
    <w:rsid w:val="000C5011"/>
    <w:rsid w:val="000C666C"/>
    <w:rsid w:val="000D530F"/>
    <w:rsid w:val="000F734A"/>
    <w:rsid w:val="00134B4B"/>
    <w:rsid w:val="00157C41"/>
    <w:rsid w:val="00186692"/>
    <w:rsid w:val="001B3CED"/>
    <w:rsid w:val="001D70F8"/>
    <w:rsid w:val="00204FE6"/>
    <w:rsid w:val="00223111"/>
    <w:rsid w:val="00257C30"/>
    <w:rsid w:val="002959AD"/>
    <w:rsid w:val="00296099"/>
    <w:rsid w:val="002A32A0"/>
    <w:rsid w:val="002A5013"/>
    <w:rsid w:val="002C0C5D"/>
    <w:rsid w:val="0033452D"/>
    <w:rsid w:val="00374277"/>
    <w:rsid w:val="00375804"/>
    <w:rsid w:val="00381C84"/>
    <w:rsid w:val="00387E9D"/>
    <w:rsid w:val="00391DAA"/>
    <w:rsid w:val="003E6D83"/>
    <w:rsid w:val="0041097A"/>
    <w:rsid w:val="00420423"/>
    <w:rsid w:val="00435FF7"/>
    <w:rsid w:val="0044446A"/>
    <w:rsid w:val="00474787"/>
    <w:rsid w:val="004828D3"/>
    <w:rsid w:val="00482ACC"/>
    <w:rsid w:val="004978EF"/>
    <w:rsid w:val="004B6DAC"/>
    <w:rsid w:val="004C0534"/>
    <w:rsid w:val="004C352C"/>
    <w:rsid w:val="004C6BC5"/>
    <w:rsid w:val="004E2C25"/>
    <w:rsid w:val="004E610F"/>
    <w:rsid w:val="0052248F"/>
    <w:rsid w:val="00526E7D"/>
    <w:rsid w:val="005307C9"/>
    <w:rsid w:val="00546EEE"/>
    <w:rsid w:val="005522CD"/>
    <w:rsid w:val="00553855"/>
    <w:rsid w:val="005544EC"/>
    <w:rsid w:val="005D22DD"/>
    <w:rsid w:val="005D77D5"/>
    <w:rsid w:val="005F0476"/>
    <w:rsid w:val="005F2F6B"/>
    <w:rsid w:val="005F6865"/>
    <w:rsid w:val="006378F8"/>
    <w:rsid w:val="00642A5A"/>
    <w:rsid w:val="006648B4"/>
    <w:rsid w:val="0068090C"/>
    <w:rsid w:val="006975D6"/>
    <w:rsid w:val="006B3F7D"/>
    <w:rsid w:val="006B528D"/>
    <w:rsid w:val="006C150F"/>
    <w:rsid w:val="00714D60"/>
    <w:rsid w:val="0074346F"/>
    <w:rsid w:val="007508DB"/>
    <w:rsid w:val="00773A4B"/>
    <w:rsid w:val="007D1C7B"/>
    <w:rsid w:val="007D704B"/>
    <w:rsid w:val="007E5C14"/>
    <w:rsid w:val="007F23B7"/>
    <w:rsid w:val="00806C3C"/>
    <w:rsid w:val="008150BB"/>
    <w:rsid w:val="00824FCD"/>
    <w:rsid w:val="0083706E"/>
    <w:rsid w:val="00852A25"/>
    <w:rsid w:val="008B1C3F"/>
    <w:rsid w:val="008B3C2D"/>
    <w:rsid w:val="008B4D38"/>
    <w:rsid w:val="008C7CDA"/>
    <w:rsid w:val="009124C5"/>
    <w:rsid w:val="00923ED2"/>
    <w:rsid w:val="00927840"/>
    <w:rsid w:val="00965EFA"/>
    <w:rsid w:val="0097169A"/>
    <w:rsid w:val="00971EA1"/>
    <w:rsid w:val="009902D5"/>
    <w:rsid w:val="009A3CFD"/>
    <w:rsid w:val="009A4D48"/>
    <w:rsid w:val="009B2060"/>
    <w:rsid w:val="009E4525"/>
    <w:rsid w:val="00A05EB5"/>
    <w:rsid w:val="00A32597"/>
    <w:rsid w:val="00A646E5"/>
    <w:rsid w:val="00A716E6"/>
    <w:rsid w:val="00AC14D3"/>
    <w:rsid w:val="00AD51C4"/>
    <w:rsid w:val="00AD778E"/>
    <w:rsid w:val="00AE69E0"/>
    <w:rsid w:val="00AF351C"/>
    <w:rsid w:val="00B128BC"/>
    <w:rsid w:val="00B150BC"/>
    <w:rsid w:val="00B21095"/>
    <w:rsid w:val="00BA1E17"/>
    <w:rsid w:val="00BC0CAB"/>
    <w:rsid w:val="00BC1704"/>
    <w:rsid w:val="00BE5F88"/>
    <w:rsid w:val="00BE77B6"/>
    <w:rsid w:val="00BF0D4C"/>
    <w:rsid w:val="00BF4EDD"/>
    <w:rsid w:val="00C029BA"/>
    <w:rsid w:val="00C442A9"/>
    <w:rsid w:val="00C46F5F"/>
    <w:rsid w:val="00CA2548"/>
    <w:rsid w:val="00CF57DB"/>
    <w:rsid w:val="00D06248"/>
    <w:rsid w:val="00D07125"/>
    <w:rsid w:val="00D253B6"/>
    <w:rsid w:val="00D535BC"/>
    <w:rsid w:val="00D537A8"/>
    <w:rsid w:val="00D618C0"/>
    <w:rsid w:val="00D61B0A"/>
    <w:rsid w:val="00D638C7"/>
    <w:rsid w:val="00D75838"/>
    <w:rsid w:val="00D7665E"/>
    <w:rsid w:val="00D86D8F"/>
    <w:rsid w:val="00D87228"/>
    <w:rsid w:val="00D93884"/>
    <w:rsid w:val="00DB3F13"/>
    <w:rsid w:val="00DC0181"/>
    <w:rsid w:val="00DC5427"/>
    <w:rsid w:val="00DD23E8"/>
    <w:rsid w:val="00DD6770"/>
    <w:rsid w:val="00E322E8"/>
    <w:rsid w:val="00E54449"/>
    <w:rsid w:val="00E66034"/>
    <w:rsid w:val="00E867D9"/>
    <w:rsid w:val="00E87057"/>
    <w:rsid w:val="00EC38C2"/>
    <w:rsid w:val="00EC40D1"/>
    <w:rsid w:val="00ED4CF6"/>
    <w:rsid w:val="00ED6097"/>
    <w:rsid w:val="00EE0DB1"/>
    <w:rsid w:val="00EE16C1"/>
    <w:rsid w:val="00EF5FD8"/>
    <w:rsid w:val="00F04D26"/>
    <w:rsid w:val="00F15BC4"/>
    <w:rsid w:val="00F34F1E"/>
    <w:rsid w:val="00F41469"/>
    <w:rsid w:val="00F9275B"/>
    <w:rsid w:val="00FC5EC5"/>
    <w:rsid w:val="00FC7CDD"/>
    <w:rsid w:val="00FD233C"/>
    <w:rsid w:val="02E85AB2"/>
    <w:rsid w:val="02ED5B49"/>
    <w:rsid w:val="031152E7"/>
    <w:rsid w:val="058014BF"/>
    <w:rsid w:val="06A61855"/>
    <w:rsid w:val="0AE072CF"/>
    <w:rsid w:val="0CDA42CB"/>
    <w:rsid w:val="0D1F336B"/>
    <w:rsid w:val="0EC034C1"/>
    <w:rsid w:val="0FBA6213"/>
    <w:rsid w:val="11244349"/>
    <w:rsid w:val="14426584"/>
    <w:rsid w:val="14ED0A60"/>
    <w:rsid w:val="172872C1"/>
    <w:rsid w:val="176D1012"/>
    <w:rsid w:val="17D17958"/>
    <w:rsid w:val="1854416B"/>
    <w:rsid w:val="19584882"/>
    <w:rsid w:val="1AEB4EAB"/>
    <w:rsid w:val="1B1523F3"/>
    <w:rsid w:val="1D5232E9"/>
    <w:rsid w:val="1E685864"/>
    <w:rsid w:val="1F730E3B"/>
    <w:rsid w:val="1FCF176C"/>
    <w:rsid w:val="21034855"/>
    <w:rsid w:val="217E6108"/>
    <w:rsid w:val="21871E5B"/>
    <w:rsid w:val="220D1F62"/>
    <w:rsid w:val="22F41C11"/>
    <w:rsid w:val="23BF1883"/>
    <w:rsid w:val="24F92CCA"/>
    <w:rsid w:val="277B3E32"/>
    <w:rsid w:val="2988580D"/>
    <w:rsid w:val="2A8767BA"/>
    <w:rsid w:val="2AE66F7F"/>
    <w:rsid w:val="2B3E4EAD"/>
    <w:rsid w:val="2C9F30AF"/>
    <w:rsid w:val="2CE1604E"/>
    <w:rsid w:val="324A2389"/>
    <w:rsid w:val="3381034B"/>
    <w:rsid w:val="33CE4D8B"/>
    <w:rsid w:val="342A2472"/>
    <w:rsid w:val="37805CE6"/>
    <w:rsid w:val="380B26BF"/>
    <w:rsid w:val="3987538C"/>
    <w:rsid w:val="3A196312"/>
    <w:rsid w:val="3D792CEC"/>
    <w:rsid w:val="3DED545C"/>
    <w:rsid w:val="40362620"/>
    <w:rsid w:val="405344C5"/>
    <w:rsid w:val="40A05B7D"/>
    <w:rsid w:val="41C041FC"/>
    <w:rsid w:val="4383047F"/>
    <w:rsid w:val="441006B1"/>
    <w:rsid w:val="45085F7D"/>
    <w:rsid w:val="4591430A"/>
    <w:rsid w:val="48475038"/>
    <w:rsid w:val="48B80B7F"/>
    <w:rsid w:val="49D071C0"/>
    <w:rsid w:val="4A72164F"/>
    <w:rsid w:val="4B923BDF"/>
    <w:rsid w:val="4C345746"/>
    <w:rsid w:val="4D234564"/>
    <w:rsid w:val="4F3C6524"/>
    <w:rsid w:val="4FEE65F2"/>
    <w:rsid w:val="50470DE1"/>
    <w:rsid w:val="52746C24"/>
    <w:rsid w:val="529A7525"/>
    <w:rsid w:val="53980D4F"/>
    <w:rsid w:val="53F4156F"/>
    <w:rsid w:val="54575DC5"/>
    <w:rsid w:val="547F51A4"/>
    <w:rsid w:val="55AD4EBF"/>
    <w:rsid w:val="57E53291"/>
    <w:rsid w:val="585F0BBC"/>
    <w:rsid w:val="587A155A"/>
    <w:rsid w:val="5A3633A1"/>
    <w:rsid w:val="5BE16A8E"/>
    <w:rsid w:val="5C0E431A"/>
    <w:rsid w:val="5E447652"/>
    <w:rsid w:val="63CE5636"/>
    <w:rsid w:val="63F5078E"/>
    <w:rsid w:val="650571F3"/>
    <w:rsid w:val="68C9279E"/>
    <w:rsid w:val="6A4D79FC"/>
    <w:rsid w:val="6AB06526"/>
    <w:rsid w:val="6D8D0DA1"/>
    <w:rsid w:val="6E920A8F"/>
    <w:rsid w:val="6F361754"/>
    <w:rsid w:val="6F414AD5"/>
    <w:rsid w:val="70B07280"/>
    <w:rsid w:val="71BC0CF6"/>
    <w:rsid w:val="72687425"/>
    <w:rsid w:val="74422E57"/>
    <w:rsid w:val="767D1ABE"/>
    <w:rsid w:val="76B364D9"/>
    <w:rsid w:val="76DD1291"/>
    <w:rsid w:val="77456B25"/>
    <w:rsid w:val="7A575FD8"/>
    <w:rsid w:val="7B074E26"/>
    <w:rsid w:val="7BB5368E"/>
    <w:rsid w:val="7C856FEF"/>
    <w:rsid w:val="7CE17E7B"/>
    <w:rsid w:val="7E532250"/>
    <w:rsid w:val="7FAC50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rPr>
      <w:rFonts w:ascii="Times New Roman" w:hAnsi="Times New Roman"/>
    </w:rPr>
  </w:style>
  <w:style w:type="paragraph" w:styleId="3">
    <w:name w:val="Body Text Indent"/>
    <w:basedOn w:val="1"/>
    <w:next w:val="1"/>
    <w:autoRedefine/>
    <w:qFormat/>
    <w:uiPriority w:val="0"/>
    <w:pPr>
      <w:spacing w:after="120" w:afterLines="0" w:afterAutospacing="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Indent"/>
    <w:basedOn w:val="1"/>
    <w:next w:val="1"/>
    <w:autoRedefine/>
    <w:qFormat/>
    <w:uiPriority w:val="0"/>
    <w:pPr>
      <w:ind w:firstLine="420" w:firstLineChars="200"/>
    </w:pPr>
  </w:style>
  <w:style w:type="paragraph" w:styleId="6">
    <w:name w:val="annotation text"/>
    <w:basedOn w:val="1"/>
    <w:link w:val="17"/>
    <w:autoRedefine/>
    <w:qFormat/>
    <w:uiPriority w:val="0"/>
    <w:pPr>
      <w:jc w:val="left"/>
    </w:pPr>
  </w:style>
  <w:style w:type="paragraph" w:styleId="7">
    <w:name w:val="Date"/>
    <w:basedOn w:val="1"/>
    <w:next w:val="1"/>
    <w:autoRedefine/>
    <w:qFormat/>
    <w:uiPriority w:val="0"/>
    <w:pPr>
      <w:ind w:left="100" w:leftChars="2500"/>
    </w:pPr>
  </w:style>
  <w:style w:type="paragraph" w:styleId="8">
    <w:name w:val="Balloon Text"/>
    <w:basedOn w:val="1"/>
    <w:autoRedefine/>
    <w:semiHidden/>
    <w:qFormat/>
    <w:uiPriority w:val="0"/>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line="360" w:lineRule="auto"/>
      <w:jc w:val="left"/>
    </w:pPr>
    <w:rPr>
      <w:rFonts w:ascii="宋体" w:hAnsi="宋体" w:eastAsia="仿宋_GB2312" w:cs="宋体"/>
      <w:kern w:val="0"/>
      <w:sz w:val="24"/>
      <w:lang w:bidi="bn-IN"/>
    </w:rPr>
  </w:style>
  <w:style w:type="paragraph" w:styleId="11">
    <w:name w:val="annotation subject"/>
    <w:basedOn w:val="6"/>
    <w:next w:val="6"/>
    <w:link w:val="18"/>
    <w:autoRedefine/>
    <w:qFormat/>
    <w:uiPriority w:val="0"/>
    <w:rPr>
      <w:b/>
      <w:bCs/>
    </w:r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autoRedefine/>
    <w:qFormat/>
    <w:uiPriority w:val="0"/>
  </w:style>
  <w:style w:type="character" w:styleId="16">
    <w:name w:val="annotation reference"/>
    <w:autoRedefine/>
    <w:qFormat/>
    <w:uiPriority w:val="0"/>
    <w:rPr>
      <w:sz w:val="21"/>
      <w:szCs w:val="21"/>
    </w:rPr>
  </w:style>
  <w:style w:type="character" w:customStyle="1" w:styleId="17">
    <w:name w:val="批注文字 字符"/>
    <w:link w:val="6"/>
    <w:autoRedefine/>
    <w:qFormat/>
    <w:uiPriority w:val="0"/>
    <w:rPr>
      <w:kern w:val="2"/>
      <w:sz w:val="21"/>
      <w:szCs w:val="24"/>
    </w:rPr>
  </w:style>
  <w:style w:type="character" w:customStyle="1" w:styleId="18">
    <w:name w:val="批注主题 字符"/>
    <w:link w:val="11"/>
    <w:autoRedefine/>
    <w:qFormat/>
    <w:uiPriority w:val="0"/>
    <w:rPr>
      <w:b/>
      <w:bCs/>
      <w:kern w:val="2"/>
      <w:sz w:val="21"/>
      <w:szCs w:val="24"/>
    </w:rPr>
  </w:style>
  <w:style w:type="character" w:customStyle="1" w:styleId="19">
    <w:name w:val="da1"/>
    <w:autoRedefine/>
    <w:qFormat/>
    <w:uiPriority w:val="0"/>
    <w:rPr>
      <w:rFonts w:hint="default" w:ascii="_x000B__x000C_" w:hAnsi="_x000B__x000C_"/>
      <w:color w:val="000000"/>
      <w:spacing w:val="360"/>
      <w:sz w:val="21"/>
      <w:szCs w:val="21"/>
      <w:u w:val="none"/>
    </w:rPr>
  </w:style>
  <w:style w:type="paragraph" w:customStyle="1" w:styleId="20">
    <w:name w:val=" 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3">
    <w:name w:val="Char Char Char Char"/>
    <w:basedOn w:val="1"/>
    <w:autoRedefine/>
    <w:qFormat/>
    <w:uiPriority w:val="0"/>
    <w:rPr>
      <w:szCs w:val="21"/>
    </w:rPr>
  </w:style>
  <w:style w:type="paragraph" w:customStyle="1" w:styleId="24">
    <w:name w:val="_Style 4"/>
    <w:basedOn w:val="1"/>
    <w:autoRedefine/>
    <w:qFormat/>
    <w:uiPriority w:val="0"/>
    <w:pPr>
      <w:pageBreakBefore/>
      <w:tabs>
        <w:tab w:val="left" w:pos="432"/>
      </w:tabs>
      <w:ind w:left="432" w:hanging="432"/>
    </w:pPr>
    <w:rPr>
      <w:rFonts w:ascii="Tahoma" w:hAnsi="Tahoma"/>
      <w:sz w:val="24"/>
      <w:szCs w:val="20"/>
    </w:rPr>
  </w:style>
  <w:style w:type="paragraph" w:customStyle="1" w:styleId="25">
    <w:name w:val="_Style 22"/>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930</Words>
  <Characters>5307</Characters>
  <Lines>44</Lines>
  <Paragraphs>12</Paragraphs>
  <TotalTime>0</TotalTime>
  <ScaleCrop>false</ScaleCrop>
  <LinksUpToDate>false</LinksUpToDate>
  <CharactersWithSpaces>6225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WPS_1591103659</cp:lastModifiedBy>
  <cp:lastPrinted>2018-05-28T03:44:00Z</cp:lastPrinted>
  <dcterms:modified xsi:type="dcterms:W3CDTF">2024-04-29T06:45:15Z</dcterms:modified>
  <dc:title>证券代码：000875            证券简称：吉电股份              公告编号：2014-062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F0DC43CE4AD246EE9C5E9842C03FFE5C_13</vt:lpwstr>
  </property>
  <property fmtid="{D5CDD505-2E9C-101B-9397-08002B2CF9AE}" pid="4" name="commondata">
    <vt:lpwstr>eyJoZGlkIjoiZjYwODI3MzhlZDY0MzYxNDIwZDY0YWQyZjdkOTgyZDcifQ==</vt:lpwstr>
  </property>
</Properties>
</file>